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060FF" w14:textId="66A11D4D" w:rsidR="00DF67C2" w:rsidRPr="00017756" w:rsidRDefault="000C5483" w:rsidP="00017756">
      <w:pPr>
        <w:rPr>
          <w:noProof/>
        </w:rPr>
      </w:pPr>
      <w:bookmarkStart w:id="0" w:name="_GoBack"/>
      <w:bookmarkEnd w:id="0"/>
      <w:r>
        <w:rPr>
          <w:noProof/>
          <w:lang w:eastAsia="pt-BR"/>
        </w:rPr>
        <w:drawing>
          <wp:inline distT="0" distB="0" distL="0" distR="0" wp14:anchorId="27359EF0" wp14:editId="46AB85EF">
            <wp:extent cx="8978276" cy="1461770"/>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5614" cy="1489015"/>
                    </a:xfrm>
                    <a:prstGeom prst="rect">
                      <a:avLst/>
                    </a:prstGeom>
                    <a:noFill/>
                    <a:ln>
                      <a:noFill/>
                    </a:ln>
                  </pic:spPr>
                </pic:pic>
              </a:graphicData>
            </a:graphic>
          </wp:inline>
        </w:drawing>
      </w:r>
    </w:p>
    <w:p w14:paraId="1F4FC78C" w14:textId="7EDF4681" w:rsidR="00214B3D" w:rsidRPr="00290DDA" w:rsidRDefault="00C15EBB" w:rsidP="00DF67C2">
      <w:pPr>
        <w:spacing w:after="0"/>
        <w:jc w:val="center"/>
        <w:rPr>
          <w:b/>
          <w:bCs/>
          <w:noProof/>
          <w:sz w:val="36"/>
          <w:szCs w:val="36"/>
          <w:u w:val="single"/>
        </w:rPr>
      </w:pPr>
      <w:r w:rsidRPr="00290DDA">
        <w:rPr>
          <w:b/>
          <w:bCs/>
          <w:noProof/>
          <w:sz w:val="36"/>
          <w:szCs w:val="36"/>
          <w:u w:val="single"/>
        </w:rPr>
        <w:t xml:space="preserve">Riscos e controles nas aquisições e contratações </w:t>
      </w:r>
      <w:r w:rsidR="00F029B2" w:rsidRPr="00290DDA">
        <w:rPr>
          <w:b/>
          <w:bCs/>
          <w:noProof/>
          <w:sz w:val="36"/>
          <w:szCs w:val="36"/>
          <w:u w:val="single"/>
        </w:rPr>
        <w:t>para enfrentamento à COVID 19</w:t>
      </w:r>
    </w:p>
    <w:p w14:paraId="37D11F41" w14:textId="6CA8BFA0" w:rsidR="00F029B2" w:rsidRPr="00DF2F90" w:rsidRDefault="00F029B2" w:rsidP="00DF67C2">
      <w:pPr>
        <w:spacing w:after="0"/>
        <w:jc w:val="center"/>
        <w:rPr>
          <w:b/>
          <w:bCs/>
          <w:noProof/>
          <w:sz w:val="28"/>
          <w:szCs w:val="28"/>
          <w:u w:val="single"/>
        </w:rPr>
      </w:pPr>
    </w:p>
    <w:p w14:paraId="59C3A118" w14:textId="77777777" w:rsidR="00F029B2" w:rsidRPr="00DF2F90" w:rsidRDefault="00F029B2" w:rsidP="00F029B2">
      <w:pPr>
        <w:spacing w:after="0"/>
        <w:jc w:val="center"/>
        <w:rPr>
          <w:b/>
          <w:bCs/>
          <w:noProof/>
          <w:sz w:val="28"/>
          <w:szCs w:val="28"/>
          <w:u w:val="single"/>
        </w:rPr>
      </w:pPr>
      <w:r w:rsidRPr="00DF2F90">
        <w:rPr>
          <w:b/>
          <w:bCs/>
          <w:noProof/>
          <w:sz w:val="28"/>
          <w:szCs w:val="28"/>
          <w:u w:val="single"/>
        </w:rPr>
        <w:t>GT Extraordinário - Monitoramento das ações de Combate à COVID 19</w:t>
      </w:r>
    </w:p>
    <w:p w14:paraId="27BF00F8" w14:textId="77777777" w:rsidR="00C15EBB" w:rsidRPr="0002141D" w:rsidRDefault="00C15EBB" w:rsidP="00F029B2">
      <w:pPr>
        <w:spacing w:after="0"/>
        <w:rPr>
          <w:b/>
          <w:bCs/>
          <w:noProof/>
          <w:sz w:val="28"/>
          <w:szCs w:val="28"/>
          <w:u w:val="single"/>
        </w:rPr>
      </w:pPr>
    </w:p>
    <w:tbl>
      <w:tblPr>
        <w:tblStyle w:val="Tabelacomgrade"/>
        <w:tblW w:w="13994" w:type="dxa"/>
        <w:tblLook w:val="04A0" w:firstRow="1" w:lastRow="0" w:firstColumn="1" w:lastColumn="0" w:noHBand="0" w:noVBand="1"/>
      </w:tblPr>
      <w:tblGrid>
        <w:gridCol w:w="2511"/>
        <w:gridCol w:w="3059"/>
        <w:gridCol w:w="8424"/>
      </w:tblGrid>
      <w:tr w:rsidR="00DB70F9" w14:paraId="3306E42E" w14:textId="15F61160" w:rsidTr="00EE4CA9">
        <w:tc>
          <w:tcPr>
            <w:tcW w:w="2511" w:type="dxa"/>
            <w:shd w:val="clear" w:color="auto" w:fill="D0CECE" w:themeFill="background2" w:themeFillShade="E6"/>
          </w:tcPr>
          <w:p w14:paraId="06DE800B" w14:textId="4B296800" w:rsidR="00DB70F9" w:rsidRPr="00712921" w:rsidRDefault="00DB70F9" w:rsidP="00B52DEE">
            <w:pPr>
              <w:jc w:val="center"/>
              <w:rPr>
                <w:b/>
                <w:bCs/>
                <w:noProof/>
              </w:rPr>
            </w:pPr>
            <w:r>
              <w:rPr>
                <w:b/>
                <w:bCs/>
                <w:noProof/>
              </w:rPr>
              <w:t>Etapa da contratação</w:t>
            </w:r>
          </w:p>
        </w:tc>
        <w:tc>
          <w:tcPr>
            <w:tcW w:w="3059" w:type="dxa"/>
            <w:shd w:val="clear" w:color="auto" w:fill="D0CECE" w:themeFill="background2" w:themeFillShade="E6"/>
          </w:tcPr>
          <w:p w14:paraId="20E2D9EC" w14:textId="49FD242B" w:rsidR="00DB70F9" w:rsidRPr="00712921" w:rsidRDefault="00DB70F9" w:rsidP="00B52DEE">
            <w:pPr>
              <w:jc w:val="center"/>
              <w:rPr>
                <w:b/>
                <w:bCs/>
                <w:noProof/>
              </w:rPr>
            </w:pPr>
            <w:r>
              <w:rPr>
                <w:b/>
                <w:bCs/>
                <w:noProof/>
              </w:rPr>
              <w:t>Risco</w:t>
            </w:r>
          </w:p>
        </w:tc>
        <w:tc>
          <w:tcPr>
            <w:tcW w:w="8424" w:type="dxa"/>
            <w:shd w:val="clear" w:color="auto" w:fill="D0CECE" w:themeFill="background2" w:themeFillShade="E6"/>
          </w:tcPr>
          <w:p w14:paraId="1C0546CD" w14:textId="429E685D" w:rsidR="00DB70F9" w:rsidRDefault="00DB70F9" w:rsidP="00B52DEE">
            <w:pPr>
              <w:jc w:val="center"/>
              <w:rPr>
                <w:b/>
                <w:bCs/>
                <w:noProof/>
              </w:rPr>
            </w:pPr>
            <w:r>
              <w:rPr>
                <w:b/>
                <w:bCs/>
                <w:noProof/>
              </w:rPr>
              <w:t>Controle (Mitigação do risco)</w:t>
            </w:r>
          </w:p>
        </w:tc>
      </w:tr>
      <w:tr w:rsidR="00863EBE" w14:paraId="360C3FD7" w14:textId="1179DF6C" w:rsidTr="00EE4CA9">
        <w:tc>
          <w:tcPr>
            <w:tcW w:w="2511" w:type="dxa"/>
            <w:vMerge w:val="restart"/>
          </w:tcPr>
          <w:p w14:paraId="08538F4D" w14:textId="77777777" w:rsidR="00863EBE" w:rsidRDefault="00863EBE" w:rsidP="00B52DEE">
            <w:pPr>
              <w:jc w:val="center"/>
              <w:rPr>
                <w:b/>
                <w:bCs/>
                <w:noProof/>
              </w:rPr>
            </w:pPr>
          </w:p>
          <w:p w14:paraId="789B4CC3" w14:textId="77777777" w:rsidR="00863EBE" w:rsidRDefault="00863EBE" w:rsidP="00B52DEE">
            <w:pPr>
              <w:jc w:val="center"/>
              <w:rPr>
                <w:b/>
                <w:bCs/>
                <w:noProof/>
              </w:rPr>
            </w:pPr>
          </w:p>
          <w:p w14:paraId="4BA67027" w14:textId="77777777" w:rsidR="00863EBE" w:rsidRDefault="00863EBE" w:rsidP="00B52DEE">
            <w:pPr>
              <w:jc w:val="center"/>
              <w:rPr>
                <w:b/>
                <w:bCs/>
                <w:noProof/>
              </w:rPr>
            </w:pPr>
          </w:p>
          <w:p w14:paraId="6E503F8C" w14:textId="77777777" w:rsidR="00863EBE" w:rsidRDefault="00863EBE" w:rsidP="00B52DEE">
            <w:pPr>
              <w:jc w:val="center"/>
              <w:rPr>
                <w:b/>
                <w:bCs/>
                <w:noProof/>
              </w:rPr>
            </w:pPr>
          </w:p>
          <w:p w14:paraId="5B36FFB3" w14:textId="77777777" w:rsidR="00863EBE" w:rsidRDefault="00863EBE" w:rsidP="00B52DEE">
            <w:pPr>
              <w:jc w:val="center"/>
              <w:rPr>
                <w:b/>
                <w:bCs/>
                <w:noProof/>
              </w:rPr>
            </w:pPr>
          </w:p>
          <w:p w14:paraId="0EC7B4F4" w14:textId="17A2CA49" w:rsidR="00863EBE" w:rsidRPr="00E824CB" w:rsidRDefault="00863EBE" w:rsidP="00B52DEE">
            <w:pPr>
              <w:jc w:val="center"/>
              <w:rPr>
                <w:b/>
                <w:bCs/>
                <w:noProof/>
                <w:sz w:val="24"/>
                <w:szCs w:val="24"/>
              </w:rPr>
            </w:pPr>
            <w:r w:rsidRPr="00E824CB">
              <w:rPr>
                <w:b/>
                <w:bCs/>
                <w:noProof/>
                <w:sz w:val="24"/>
                <w:szCs w:val="24"/>
              </w:rPr>
              <w:t xml:space="preserve">Motivação da despesa </w:t>
            </w:r>
          </w:p>
          <w:p w14:paraId="4BE3B562" w14:textId="4E14EA6E" w:rsidR="00863EBE" w:rsidRDefault="00863EBE" w:rsidP="00B52DEE">
            <w:pPr>
              <w:jc w:val="center"/>
              <w:rPr>
                <w:b/>
                <w:bCs/>
                <w:noProof/>
              </w:rPr>
            </w:pPr>
          </w:p>
          <w:p w14:paraId="22E608AC" w14:textId="1C62A103" w:rsidR="00863EBE" w:rsidRPr="00B52DEE" w:rsidRDefault="00863EBE" w:rsidP="00B52DEE">
            <w:pPr>
              <w:jc w:val="center"/>
              <w:rPr>
                <w:b/>
                <w:bCs/>
                <w:noProof/>
              </w:rPr>
            </w:pPr>
          </w:p>
        </w:tc>
        <w:tc>
          <w:tcPr>
            <w:tcW w:w="3059" w:type="dxa"/>
          </w:tcPr>
          <w:p w14:paraId="6DE76BC6" w14:textId="394AFC62" w:rsidR="00863EBE" w:rsidRDefault="00863EBE" w:rsidP="003D6BA4">
            <w:pPr>
              <w:rPr>
                <w:noProof/>
              </w:rPr>
            </w:pPr>
            <w:r>
              <w:rPr>
                <w:noProof/>
              </w:rPr>
              <w:t xml:space="preserve"> </w:t>
            </w:r>
            <w:r>
              <w:rPr>
                <w:rFonts w:cstheme="minorHAnsi"/>
                <w:color w:val="000000"/>
                <w:sz w:val="24"/>
                <w:szCs w:val="24"/>
              </w:rPr>
              <w:t xml:space="preserve">Aquisição de produtos e/ou contratação de serviços não relacionados com o enfrentamento da pandemia. </w:t>
            </w:r>
          </w:p>
        </w:tc>
        <w:tc>
          <w:tcPr>
            <w:tcW w:w="8424" w:type="dxa"/>
          </w:tcPr>
          <w:p w14:paraId="483AF880" w14:textId="62BD2511" w:rsidR="00863EBE" w:rsidRDefault="00BC6BA6" w:rsidP="00D64E07">
            <w:pPr>
              <w:jc w:val="both"/>
              <w:rPr>
                <w:noProof/>
              </w:rPr>
            </w:pPr>
            <w:r>
              <w:rPr>
                <w:rFonts w:cstheme="minorHAnsi"/>
                <w:color w:val="000000"/>
                <w:sz w:val="24"/>
                <w:szCs w:val="24"/>
              </w:rPr>
              <w:t xml:space="preserve">- </w:t>
            </w:r>
            <w:r w:rsidR="00863EBE">
              <w:rPr>
                <w:rFonts w:cstheme="minorHAnsi"/>
                <w:color w:val="000000"/>
                <w:sz w:val="24"/>
                <w:szCs w:val="24"/>
              </w:rPr>
              <w:t>Examinar, na justificativa da contratação, em que medida a aquisição/contratação está relacionada diretamente ao enfrentamento da pandemia.</w:t>
            </w:r>
          </w:p>
          <w:p w14:paraId="0B7CE783" w14:textId="1EA063FF" w:rsidR="00863EBE" w:rsidRPr="00C50524" w:rsidRDefault="00BC6BA6" w:rsidP="00D64E07">
            <w:pPr>
              <w:tabs>
                <w:tab w:val="left" w:pos="3724"/>
              </w:tabs>
              <w:jc w:val="both"/>
              <w:rPr>
                <w:rFonts w:cstheme="minorHAnsi"/>
                <w:color w:val="000000"/>
                <w:sz w:val="24"/>
                <w:szCs w:val="24"/>
              </w:rPr>
            </w:pPr>
            <w:r>
              <w:rPr>
                <w:rFonts w:cstheme="minorHAnsi"/>
                <w:color w:val="000000"/>
                <w:sz w:val="24"/>
                <w:szCs w:val="24"/>
              </w:rPr>
              <w:t>Obs.: os</w:t>
            </w:r>
            <w:r w:rsidR="00863EBE">
              <w:rPr>
                <w:rFonts w:cstheme="minorHAnsi"/>
                <w:color w:val="000000"/>
                <w:sz w:val="24"/>
                <w:szCs w:val="24"/>
              </w:rPr>
              <w:t xml:space="preserve"> requisitos que justificam a contratação emergencial para aquisições baseadas na Lei nº 13.979/20 são presumidos (art. 4º-B, que trata de presunção </w:t>
            </w:r>
            <w:r w:rsidR="00863EBE">
              <w:rPr>
                <w:rFonts w:cstheme="minorHAnsi"/>
                <w:i/>
                <w:color w:val="000000"/>
                <w:sz w:val="24"/>
                <w:szCs w:val="24"/>
              </w:rPr>
              <w:t>juris tantum</w:t>
            </w:r>
            <w:r w:rsidR="00863EBE">
              <w:rPr>
                <w:rFonts w:cstheme="minorHAnsi"/>
                <w:color w:val="000000"/>
                <w:sz w:val="24"/>
                <w:szCs w:val="24"/>
              </w:rPr>
              <w:t>), de modo que a solicitação deve demonstrar nos autos a efetiva destinação da contratação para o enfrentamento da pandemia.</w:t>
            </w:r>
          </w:p>
        </w:tc>
      </w:tr>
      <w:tr w:rsidR="00863EBE" w14:paraId="7E376646" w14:textId="77777777" w:rsidTr="00EE4CA9">
        <w:tc>
          <w:tcPr>
            <w:tcW w:w="2511" w:type="dxa"/>
            <w:vMerge/>
          </w:tcPr>
          <w:p w14:paraId="4BF85A11" w14:textId="77777777" w:rsidR="00863EBE" w:rsidRDefault="00863EBE" w:rsidP="00B52DEE">
            <w:pPr>
              <w:jc w:val="center"/>
              <w:rPr>
                <w:b/>
                <w:bCs/>
                <w:noProof/>
              </w:rPr>
            </w:pPr>
          </w:p>
        </w:tc>
        <w:tc>
          <w:tcPr>
            <w:tcW w:w="3059" w:type="dxa"/>
          </w:tcPr>
          <w:p w14:paraId="11A40D27" w14:textId="163D3F01" w:rsidR="00863EBE" w:rsidRDefault="00863EBE" w:rsidP="00192906">
            <w:pPr>
              <w:rPr>
                <w:noProof/>
              </w:rPr>
            </w:pPr>
            <w:r>
              <w:rPr>
                <w:rFonts w:cstheme="minorHAnsi"/>
                <w:color w:val="000000"/>
                <w:sz w:val="24"/>
                <w:szCs w:val="24"/>
              </w:rPr>
              <w:t>Quantitativos superestimados ou subestimados.</w:t>
            </w:r>
          </w:p>
        </w:tc>
        <w:tc>
          <w:tcPr>
            <w:tcW w:w="8424" w:type="dxa"/>
          </w:tcPr>
          <w:p w14:paraId="27630D89" w14:textId="77777777" w:rsidR="00863EBE" w:rsidRDefault="00BC6BA6" w:rsidP="00D64E07">
            <w:pPr>
              <w:jc w:val="both"/>
              <w:rPr>
                <w:rFonts w:cstheme="minorHAnsi"/>
                <w:color w:val="000000"/>
                <w:sz w:val="24"/>
                <w:szCs w:val="24"/>
              </w:rPr>
            </w:pPr>
            <w:r>
              <w:rPr>
                <w:rFonts w:cstheme="minorHAnsi"/>
                <w:color w:val="000000"/>
                <w:sz w:val="24"/>
                <w:szCs w:val="24"/>
              </w:rPr>
              <w:t xml:space="preserve">- </w:t>
            </w:r>
            <w:r w:rsidR="00863EBE">
              <w:rPr>
                <w:rFonts w:cstheme="minorHAnsi"/>
                <w:color w:val="000000"/>
                <w:sz w:val="24"/>
                <w:szCs w:val="24"/>
              </w:rPr>
              <w:t xml:space="preserve">Verificar se o quantitativo foi estabelecido com base em informações concretas, do tipo: estimativa de pacientes a serem atendidos; quantitativo de profissionais alocados nos serviços; estimativa do tempo de duração da pandemia, </w:t>
            </w:r>
            <w:proofErr w:type="gramStart"/>
            <w:r w:rsidR="00863EBE">
              <w:rPr>
                <w:rFonts w:cstheme="minorHAnsi"/>
                <w:color w:val="000000"/>
                <w:sz w:val="24"/>
                <w:szCs w:val="24"/>
              </w:rPr>
              <w:t>etc.</w:t>
            </w:r>
            <w:r w:rsidR="0011696D">
              <w:rPr>
                <w:rFonts w:cstheme="minorHAnsi"/>
                <w:color w:val="000000"/>
                <w:sz w:val="24"/>
                <w:szCs w:val="24"/>
              </w:rPr>
              <w:t>.</w:t>
            </w:r>
            <w:proofErr w:type="gramEnd"/>
          </w:p>
          <w:p w14:paraId="5E8061DE" w14:textId="574A87AD" w:rsidR="0011696D" w:rsidRDefault="0011696D" w:rsidP="00D64E07">
            <w:pPr>
              <w:jc w:val="both"/>
              <w:rPr>
                <w:noProof/>
              </w:rPr>
            </w:pPr>
            <w:r>
              <w:rPr>
                <w:rFonts w:cstheme="minorHAnsi"/>
                <w:noProof/>
                <w:color w:val="000000"/>
                <w:sz w:val="24"/>
                <w:szCs w:val="24"/>
              </w:rPr>
              <w:t xml:space="preserve">Obs.: Importante analisar o caso específico e as informações disponíveis sobre a pandemia, de um modo geral, à época da contratação. </w:t>
            </w:r>
          </w:p>
        </w:tc>
      </w:tr>
      <w:tr w:rsidR="00863EBE" w14:paraId="50599704" w14:textId="77777777" w:rsidTr="00EE4CA9">
        <w:tc>
          <w:tcPr>
            <w:tcW w:w="2511" w:type="dxa"/>
            <w:vMerge/>
          </w:tcPr>
          <w:p w14:paraId="09DFB6AA" w14:textId="5BE06281" w:rsidR="00863EBE" w:rsidRDefault="00863EBE" w:rsidP="00B52DEE">
            <w:pPr>
              <w:jc w:val="center"/>
              <w:rPr>
                <w:b/>
                <w:bCs/>
                <w:noProof/>
              </w:rPr>
            </w:pPr>
          </w:p>
        </w:tc>
        <w:tc>
          <w:tcPr>
            <w:tcW w:w="3059" w:type="dxa"/>
          </w:tcPr>
          <w:p w14:paraId="666F4C6E" w14:textId="4A2FC6AE" w:rsidR="00863EBE" w:rsidRDefault="00863EBE" w:rsidP="00192906">
            <w:pPr>
              <w:rPr>
                <w:noProof/>
              </w:rPr>
            </w:pPr>
            <w:r>
              <w:rPr>
                <w:rFonts w:cstheme="minorHAnsi"/>
                <w:color w:val="000000"/>
                <w:sz w:val="24"/>
                <w:szCs w:val="24"/>
              </w:rPr>
              <w:t xml:space="preserve">Aquisição de bem usado sem condições ou em más </w:t>
            </w:r>
            <w:r>
              <w:rPr>
                <w:rFonts w:cstheme="minorHAnsi"/>
                <w:color w:val="000000"/>
                <w:sz w:val="24"/>
                <w:szCs w:val="24"/>
              </w:rPr>
              <w:lastRenderedPageBreak/>
              <w:t>condições de uso e funcionamento.</w:t>
            </w:r>
          </w:p>
        </w:tc>
        <w:tc>
          <w:tcPr>
            <w:tcW w:w="8424" w:type="dxa"/>
          </w:tcPr>
          <w:p w14:paraId="2DEC4CEB" w14:textId="61B7C086" w:rsidR="00863EBE" w:rsidRDefault="00D90334" w:rsidP="00D64E07">
            <w:pPr>
              <w:tabs>
                <w:tab w:val="left" w:pos="3724"/>
              </w:tabs>
              <w:jc w:val="both"/>
              <w:rPr>
                <w:rFonts w:cstheme="minorHAnsi"/>
                <w:color w:val="000000"/>
                <w:sz w:val="24"/>
                <w:szCs w:val="24"/>
              </w:rPr>
            </w:pPr>
            <w:r>
              <w:rPr>
                <w:rFonts w:cstheme="minorHAnsi"/>
                <w:color w:val="000000"/>
                <w:sz w:val="24"/>
                <w:szCs w:val="24"/>
              </w:rPr>
              <w:lastRenderedPageBreak/>
              <w:t xml:space="preserve">- </w:t>
            </w:r>
            <w:r w:rsidR="00863EBE">
              <w:rPr>
                <w:rFonts w:cstheme="minorHAnsi"/>
                <w:color w:val="000000"/>
                <w:sz w:val="24"/>
                <w:szCs w:val="24"/>
              </w:rPr>
              <w:t>Verificar, no caso de aquisição de bem usado, se há comprovação da responsabilidade do fornecedor pela garantia das plenas condições de uso e funcionamento do bem adquirido</w:t>
            </w:r>
            <w:r w:rsidR="008F5022">
              <w:rPr>
                <w:rFonts w:cstheme="minorHAnsi"/>
                <w:color w:val="000000"/>
                <w:sz w:val="24"/>
                <w:szCs w:val="24"/>
              </w:rPr>
              <w:t xml:space="preserve">; e </w:t>
            </w:r>
          </w:p>
          <w:p w14:paraId="1FEC893C" w14:textId="756D7266" w:rsidR="00863EBE" w:rsidRDefault="00D90334" w:rsidP="00D64E07">
            <w:pPr>
              <w:jc w:val="both"/>
              <w:rPr>
                <w:noProof/>
              </w:rPr>
            </w:pPr>
            <w:r>
              <w:rPr>
                <w:rFonts w:cstheme="minorHAnsi"/>
                <w:color w:val="000000"/>
                <w:sz w:val="24"/>
                <w:szCs w:val="24"/>
              </w:rPr>
              <w:lastRenderedPageBreak/>
              <w:t xml:space="preserve">Obs.: </w:t>
            </w:r>
            <w:r w:rsidR="00863EBE">
              <w:rPr>
                <w:rFonts w:cstheme="minorHAnsi"/>
                <w:color w:val="000000"/>
                <w:sz w:val="24"/>
                <w:szCs w:val="24"/>
              </w:rPr>
              <w:t>O art. 4º-A da Lei nº 13.979/20 é taxativo ao dispor que a aquisição de bens e contratação de serviços destinados ao enfrentamento da pandemia não se restringe a equipamentos novos, desde que o fornecedor se responsabilize pelas plenas condições de uso e funcionamento do bem adquirido.</w:t>
            </w:r>
          </w:p>
        </w:tc>
      </w:tr>
      <w:tr w:rsidR="00863EBE" w14:paraId="1DBCB09D" w14:textId="77777777" w:rsidTr="00EE4CA9">
        <w:tc>
          <w:tcPr>
            <w:tcW w:w="2511" w:type="dxa"/>
            <w:vMerge w:val="restart"/>
          </w:tcPr>
          <w:p w14:paraId="66BC8591" w14:textId="77777777" w:rsidR="00D64E07" w:rsidRDefault="00D64E07" w:rsidP="00C15EBB">
            <w:pPr>
              <w:jc w:val="center"/>
              <w:rPr>
                <w:b/>
                <w:bCs/>
                <w:noProof/>
              </w:rPr>
            </w:pPr>
          </w:p>
          <w:p w14:paraId="2F20D505" w14:textId="77777777" w:rsidR="00D64E07" w:rsidRDefault="00D64E07" w:rsidP="00C15EBB">
            <w:pPr>
              <w:jc w:val="center"/>
              <w:rPr>
                <w:b/>
                <w:bCs/>
                <w:noProof/>
              </w:rPr>
            </w:pPr>
          </w:p>
          <w:p w14:paraId="1B0EA524" w14:textId="77777777" w:rsidR="00D64E07" w:rsidRDefault="00D64E07" w:rsidP="00C15EBB">
            <w:pPr>
              <w:jc w:val="center"/>
              <w:rPr>
                <w:b/>
                <w:bCs/>
                <w:noProof/>
              </w:rPr>
            </w:pPr>
          </w:p>
          <w:p w14:paraId="495BE0D8" w14:textId="77777777" w:rsidR="00D64E07" w:rsidRDefault="00D64E07" w:rsidP="00C15EBB">
            <w:pPr>
              <w:jc w:val="center"/>
              <w:rPr>
                <w:b/>
                <w:bCs/>
                <w:noProof/>
              </w:rPr>
            </w:pPr>
          </w:p>
          <w:p w14:paraId="3F221752" w14:textId="77777777" w:rsidR="00D64E07" w:rsidRDefault="00D64E07" w:rsidP="00C15EBB">
            <w:pPr>
              <w:jc w:val="center"/>
              <w:rPr>
                <w:b/>
                <w:bCs/>
                <w:noProof/>
              </w:rPr>
            </w:pPr>
          </w:p>
          <w:p w14:paraId="1129DB57" w14:textId="77777777" w:rsidR="00D64E07" w:rsidRDefault="00D64E07" w:rsidP="00C15EBB">
            <w:pPr>
              <w:jc w:val="center"/>
              <w:rPr>
                <w:b/>
                <w:bCs/>
                <w:noProof/>
              </w:rPr>
            </w:pPr>
          </w:p>
          <w:p w14:paraId="0C344598" w14:textId="77777777" w:rsidR="00D64E07" w:rsidRDefault="00D64E07" w:rsidP="00C15EBB">
            <w:pPr>
              <w:jc w:val="center"/>
              <w:rPr>
                <w:b/>
                <w:bCs/>
                <w:noProof/>
              </w:rPr>
            </w:pPr>
          </w:p>
          <w:p w14:paraId="65975580" w14:textId="77777777" w:rsidR="00D64E07" w:rsidRDefault="00D64E07" w:rsidP="00C15EBB">
            <w:pPr>
              <w:jc w:val="center"/>
              <w:rPr>
                <w:b/>
                <w:bCs/>
                <w:noProof/>
              </w:rPr>
            </w:pPr>
          </w:p>
          <w:p w14:paraId="332E11ED" w14:textId="4C5EA2C6" w:rsidR="00863EBE" w:rsidRPr="00E824CB" w:rsidRDefault="00863EBE" w:rsidP="00C15EBB">
            <w:pPr>
              <w:jc w:val="center"/>
              <w:rPr>
                <w:b/>
                <w:bCs/>
                <w:noProof/>
                <w:sz w:val="24"/>
                <w:szCs w:val="24"/>
              </w:rPr>
            </w:pPr>
            <w:r w:rsidRPr="00E824CB">
              <w:rPr>
                <w:b/>
                <w:bCs/>
                <w:noProof/>
                <w:sz w:val="24"/>
                <w:szCs w:val="24"/>
              </w:rPr>
              <w:t>Escolha do fornecedor</w:t>
            </w:r>
          </w:p>
        </w:tc>
        <w:tc>
          <w:tcPr>
            <w:tcW w:w="3059" w:type="dxa"/>
          </w:tcPr>
          <w:p w14:paraId="09727895" w14:textId="148C5CC7" w:rsidR="00863EBE" w:rsidRDefault="00863EBE" w:rsidP="00192906">
            <w:pPr>
              <w:rPr>
                <w:noProof/>
              </w:rPr>
            </w:pPr>
            <w:r>
              <w:rPr>
                <w:rFonts w:cstheme="minorHAnsi"/>
                <w:color w:val="000000"/>
                <w:sz w:val="24"/>
                <w:szCs w:val="24"/>
              </w:rPr>
              <w:t>Definição de especificações restritivas e Direcionamento da contratação</w:t>
            </w:r>
          </w:p>
        </w:tc>
        <w:tc>
          <w:tcPr>
            <w:tcW w:w="8424" w:type="dxa"/>
          </w:tcPr>
          <w:p w14:paraId="318426A4" w14:textId="6D2820FE" w:rsidR="00F64BA6" w:rsidRDefault="00F64BA6" w:rsidP="00D64E07">
            <w:pPr>
              <w:tabs>
                <w:tab w:val="left" w:pos="3724"/>
              </w:tabs>
              <w:jc w:val="both"/>
              <w:rPr>
                <w:rFonts w:cstheme="minorHAnsi"/>
                <w:color w:val="000000"/>
                <w:sz w:val="24"/>
                <w:szCs w:val="24"/>
              </w:rPr>
            </w:pPr>
            <w:r>
              <w:rPr>
                <w:rFonts w:cstheme="minorHAnsi"/>
                <w:color w:val="000000"/>
                <w:sz w:val="24"/>
                <w:szCs w:val="24"/>
              </w:rPr>
              <w:t xml:space="preserve">- </w:t>
            </w:r>
            <w:r w:rsidR="00863EBE">
              <w:rPr>
                <w:rFonts w:cstheme="minorHAnsi"/>
                <w:color w:val="000000"/>
                <w:sz w:val="24"/>
                <w:szCs w:val="24"/>
              </w:rPr>
              <w:t>Verificar se foram estabelecidas de forma objetiva, precisa, suficiente e clara as especificações do objeto, vedadas especificações que, por excessivas, irrelevantes ou desnecessárias, limitem a escolha do fornecedor</w:t>
            </w:r>
            <w:r w:rsidR="008F5022">
              <w:rPr>
                <w:rFonts w:cstheme="minorHAnsi"/>
                <w:color w:val="000000"/>
                <w:sz w:val="24"/>
                <w:szCs w:val="24"/>
              </w:rPr>
              <w:t xml:space="preserve">; e </w:t>
            </w:r>
          </w:p>
          <w:p w14:paraId="21037C1A" w14:textId="35CB4070" w:rsidR="00863EBE" w:rsidRPr="00D64E07" w:rsidRDefault="00F64BA6" w:rsidP="00D64E07">
            <w:pPr>
              <w:tabs>
                <w:tab w:val="left" w:pos="3724"/>
              </w:tabs>
              <w:jc w:val="both"/>
              <w:rPr>
                <w:rFonts w:cstheme="minorHAnsi"/>
                <w:color w:val="000000"/>
                <w:sz w:val="24"/>
                <w:szCs w:val="24"/>
              </w:rPr>
            </w:pPr>
            <w:r>
              <w:rPr>
                <w:rFonts w:cstheme="minorHAnsi"/>
                <w:color w:val="000000"/>
                <w:sz w:val="24"/>
                <w:szCs w:val="24"/>
              </w:rPr>
              <w:t>-</w:t>
            </w:r>
            <w:r w:rsidR="00863EBE">
              <w:rPr>
                <w:rFonts w:cstheme="minorHAnsi"/>
                <w:color w:val="000000"/>
                <w:sz w:val="24"/>
                <w:szCs w:val="24"/>
              </w:rPr>
              <w:t xml:space="preserve"> Verificar se foram utilizadas especificações que indiquem determinadas características comuns a apenas um fornecedor ou grupo específico de fornecedores, de modo a direcionar o resultado da aquisição.</w:t>
            </w:r>
          </w:p>
        </w:tc>
      </w:tr>
      <w:tr w:rsidR="00863EBE" w14:paraId="7F1D22C8" w14:textId="77777777" w:rsidTr="00EE4CA9">
        <w:tc>
          <w:tcPr>
            <w:tcW w:w="2511" w:type="dxa"/>
            <w:vMerge/>
          </w:tcPr>
          <w:p w14:paraId="6AD02F3B" w14:textId="47F25000" w:rsidR="00863EBE" w:rsidRDefault="00863EBE" w:rsidP="00C15EBB">
            <w:pPr>
              <w:jc w:val="center"/>
              <w:rPr>
                <w:b/>
                <w:bCs/>
                <w:noProof/>
              </w:rPr>
            </w:pPr>
          </w:p>
        </w:tc>
        <w:tc>
          <w:tcPr>
            <w:tcW w:w="3059" w:type="dxa"/>
          </w:tcPr>
          <w:p w14:paraId="4FB0CD1D" w14:textId="2550629F" w:rsidR="00863EBE" w:rsidRDefault="00DB70F9" w:rsidP="00192906">
            <w:pPr>
              <w:rPr>
                <w:noProof/>
              </w:rPr>
            </w:pPr>
            <w:r>
              <w:rPr>
                <w:rFonts w:cstheme="minorHAnsi"/>
                <w:color w:val="000000"/>
                <w:sz w:val="24"/>
                <w:szCs w:val="24"/>
              </w:rPr>
              <w:t>F</w:t>
            </w:r>
            <w:r w:rsidR="00863EBE">
              <w:rPr>
                <w:rFonts w:cstheme="minorHAnsi"/>
                <w:color w:val="000000"/>
                <w:sz w:val="24"/>
                <w:szCs w:val="24"/>
              </w:rPr>
              <w:t>ornecedor auferir ganhos indevidos após superada a emergência do Covid-19 (ex: aquisição de equipamentos que, após o surto, deverão ter contratos de manutenção exclusivos).</w:t>
            </w:r>
          </w:p>
        </w:tc>
        <w:tc>
          <w:tcPr>
            <w:tcW w:w="8424" w:type="dxa"/>
          </w:tcPr>
          <w:p w14:paraId="5FEF5E07" w14:textId="34CE3817" w:rsidR="00DB70F9" w:rsidRDefault="00F64BA6" w:rsidP="00D64E07">
            <w:pPr>
              <w:tabs>
                <w:tab w:val="left" w:pos="3724"/>
              </w:tabs>
              <w:jc w:val="both"/>
              <w:rPr>
                <w:rFonts w:cstheme="minorHAnsi"/>
                <w:color w:val="000000"/>
                <w:sz w:val="24"/>
                <w:szCs w:val="24"/>
              </w:rPr>
            </w:pPr>
            <w:r>
              <w:rPr>
                <w:rFonts w:cstheme="minorHAnsi"/>
                <w:color w:val="000000"/>
                <w:sz w:val="24"/>
                <w:szCs w:val="24"/>
              </w:rPr>
              <w:t xml:space="preserve">- </w:t>
            </w:r>
            <w:r w:rsidR="00DB70F9">
              <w:rPr>
                <w:rFonts w:cstheme="minorHAnsi"/>
                <w:color w:val="000000"/>
                <w:sz w:val="24"/>
                <w:szCs w:val="24"/>
              </w:rPr>
              <w:t>Verificar se foram utilizadas especificações que indiquem determinadas características que gerem exclusividade. Devem ser evitadas especificações que possam gerar exclusividade de fornecimento/atendimento, bem como devem ser evitados contratos com fornecedores que ofereçam somente manutenção exclusiva ou contrato de exclusividade de fornecimento.</w:t>
            </w:r>
          </w:p>
          <w:p w14:paraId="0B3804CF" w14:textId="77777777" w:rsidR="00863EBE" w:rsidRDefault="00863EBE" w:rsidP="00D64E07">
            <w:pPr>
              <w:jc w:val="both"/>
              <w:rPr>
                <w:noProof/>
              </w:rPr>
            </w:pPr>
          </w:p>
        </w:tc>
      </w:tr>
      <w:tr w:rsidR="00863EBE" w14:paraId="443ED3B7" w14:textId="51CA45AF" w:rsidTr="00EE4CA9">
        <w:tc>
          <w:tcPr>
            <w:tcW w:w="2511" w:type="dxa"/>
            <w:vMerge/>
          </w:tcPr>
          <w:p w14:paraId="15E39D50" w14:textId="30BB2EB2" w:rsidR="00863EBE" w:rsidRPr="00B52DEE" w:rsidRDefault="00863EBE" w:rsidP="00C15EBB">
            <w:pPr>
              <w:jc w:val="center"/>
              <w:rPr>
                <w:b/>
                <w:bCs/>
                <w:noProof/>
              </w:rPr>
            </w:pPr>
          </w:p>
        </w:tc>
        <w:tc>
          <w:tcPr>
            <w:tcW w:w="3059" w:type="dxa"/>
          </w:tcPr>
          <w:p w14:paraId="5816D590" w14:textId="01BB26B0" w:rsidR="00863EBE" w:rsidRDefault="00863EBE" w:rsidP="00556B1C">
            <w:pPr>
              <w:rPr>
                <w:noProof/>
              </w:rPr>
            </w:pPr>
            <w:r>
              <w:rPr>
                <w:rFonts w:cstheme="minorHAnsi"/>
                <w:sz w:val="24"/>
                <w:szCs w:val="24"/>
              </w:rPr>
              <w:t>Possibilidade de o fornecedor não entregar parte ou a totalidade do material ou serviço contratado.</w:t>
            </w:r>
          </w:p>
        </w:tc>
        <w:tc>
          <w:tcPr>
            <w:tcW w:w="8424" w:type="dxa"/>
          </w:tcPr>
          <w:p w14:paraId="62661636" w14:textId="49690FFB" w:rsidR="00D64E07" w:rsidRDefault="008F6FB3" w:rsidP="00D64E07">
            <w:pPr>
              <w:autoSpaceDE w:val="0"/>
              <w:autoSpaceDN w:val="0"/>
              <w:adjustRightInd w:val="0"/>
              <w:jc w:val="both"/>
              <w:rPr>
                <w:rFonts w:cstheme="minorHAnsi"/>
                <w:sz w:val="24"/>
                <w:szCs w:val="24"/>
              </w:rPr>
            </w:pPr>
            <w:r>
              <w:rPr>
                <w:rFonts w:cstheme="minorHAnsi"/>
                <w:sz w:val="24"/>
                <w:szCs w:val="24"/>
              </w:rPr>
              <w:t xml:space="preserve">- </w:t>
            </w:r>
            <w:r w:rsidR="00DB70F9">
              <w:rPr>
                <w:rFonts w:cstheme="minorHAnsi"/>
                <w:sz w:val="24"/>
                <w:szCs w:val="24"/>
              </w:rPr>
              <w:t>Verificar se o ente público examinou previamente (antes da contratação) a capacidade financeira da empresa, para fazer frente ao pleno atendimento do objeto a ser contratado. Examinar se eventual adoção de procedimento de antecipação de pagamento foi adequadamente justificada</w:t>
            </w:r>
            <w:r w:rsidR="008F5022">
              <w:rPr>
                <w:rFonts w:cstheme="minorHAnsi"/>
                <w:sz w:val="24"/>
                <w:szCs w:val="24"/>
              </w:rPr>
              <w:t xml:space="preserve">; e </w:t>
            </w:r>
            <w:r w:rsidR="00DB70F9">
              <w:rPr>
                <w:rFonts w:cstheme="minorHAnsi"/>
                <w:sz w:val="24"/>
                <w:szCs w:val="24"/>
              </w:rPr>
              <w:t xml:space="preserve"> </w:t>
            </w:r>
          </w:p>
          <w:p w14:paraId="132F2BEF" w14:textId="04E6D6AA" w:rsidR="00DB70F9" w:rsidRDefault="008F6FB3" w:rsidP="00D64E07">
            <w:pPr>
              <w:autoSpaceDE w:val="0"/>
              <w:autoSpaceDN w:val="0"/>
              <w:adjustRightInd w:val="0"/>
              <w:jc w:val="both"/>
              <w:rPr>
                <w:rFonts w:cstheme="minorHAnsi"/>
                <w:sz w:val="24"/>
                <w:szCs w:val="24"/>
              </w:rPr>
            </w:pPr>
            <w:r>
              <w:rPr>
                <w:rFonts w:cstheme="minorHAnsi"/>
                <w:sz w:val="24"/>
                <w:szCs w:val="24"/>
              </w:rPr>
              <w:t xml:space="preserve">- </w:t>
            </w:r>
            <w:r w:rsidR="00DB70F9">
              <w:rPr>
                <w:rFonts w:cstheme="minorHAnsi"/>
                <w:sz w:val="24"/>
                <w:szCs w:val="24"/>
              </w:rPr>
              <w:t>Sugere-se, ainda, examinar se consta do processo toda a negociação realizada com o fornecedor, de modo a permitir a análise plena do que foi previamente avençado entre as partes.</w:t>
            </w:r>
          </w:p>
          <w:p w14:paraId="3F7E7FFA" w14:textId="13429E6F" w:rsidR="00D64E07" w:rsidRDefault="008F6FB3" w:rsidP="00D64E07">
            <w:pPr>
              <w:autoSpaceDE w:val="0"/>
              <w:autoSpaceDN w:val="0"/>
              <w:adjustRightInd w:val="0"/>
              <w:jc w:val="both"/>
              <w:rPr>
                <w:rFonts w:cstheme="minorHAnsi"/>
                <w:sz w:val="24"/>
                <w:szCs w:val="24"/>
              </w:rPr>
            </w:pPr>
            <w:r>
              <w:rPr>
                <w:rFonts w:cstheme="minorHAnsi"/>
                <w:sz w:val="24"/>
                <w:szCs w:val="24"/>
              </w:rPr>
              <w:t xml:space="preserve">- </w:t>
            </w:r>
            <w:r w:rsidR="00D64E07">
              <w:rPr>
                <w:rFonts w:cstheme="minorHAnsi"/>
                <w:sz w:val="24"/>
                <w:szCs w:val="24"/>
              </w:rPr>
              <w:t>Deve-se examinar se foi solicitada garantia de fornecimento, seguro ou se foi estipulada cláusula de ressarcimento contratual.</w:t>
            </w:r>
          </w:p>
          <w:p w14:paraId="57E03426" w14:textId="7A53FC25" w:rsidR="00863EBE" w:rsidRPr="00D64E07" w:rsidRDefault="008F6FB3" w:rsidP="00D64E07">
            <w:pPr>
              <w:autoSpaceDE w:val="0"/>
              <w:autoSpaceDN w:val="0"/>
              <w:adjustRightInd w:val="0"/>
              <w:jc w:val="both"/>
              <w:rPr>
                <w:rFonts w:cstheme="minorHAnsi"/>
                <w:sz w:val="24"/>
                <w:szCs w:val="24"/>
              </w:rPr>
            </w:pPr>
            <w:r>
              <w:rPr>
                <w:rFonts w:cstheme="minorHAnsi"/>
                <w:color w:val="000000"/>
                <w:sz w:val="24"/>
                <w:szCs w:val="24"/>
              </w:rPr>
              <w:t xml:space="preserve">Obs.: </w:t>
            </w:r>
            <w:r w:rsidR="00863EBE">
              <w:rPr>
                <w:rFonts w:cstheme="minorHAnsi"/>
                <w:sz w:val="24"/>
                <w:szCs w:val="24"/>
              </w:rPr>
              <w:t xml:space="preserve">Em princípio, o ente público deve evitar contratar com fornecedor inidôneo (hipótese somente admissível quando não houver nenhum outro fornecedor para o </w:t>
            </w:r>
            <w:r w:rsidR="00863EBE">
              <w:rPr>
                <w:rFonts w:cstheme="minorHAnsi"/>
                <w:sz w:val="24"/>
                <w:szCs w:val="24"/>
              </w:rPr>
              <w:lastRenderedPageBreak/>
              <w:t xml:space="preserve">objeto - fornecedor único - art. 4º, §3º, Lei nº 13.379/20), que deve estar devidamente fundamentada no processo. </w:t>
            </w:r>
          </w:p>
        </w:tc>
      </w:tr>
      <w:tr w:rsidR="00D64E07" w14:paraId="0BD6BDBB" w14:textId="4F3D6D05" w:rsidTr="00EE4CA9">
        <w:tc>
          <w:tcPr>
            <w:tcW w:w="2511" w:type="dxa"/>
            <w:vMerge w:val="restart"/>
          </w:tcPr>
          <w:p w14:paraId="7B0580F0" w14:textId="77777777" w:rsidR="00050D78" w:rsidRDefault="00050D78" w:rsidP="00C15EBB">
            <w:pPr>
              <w:jc w:val="center"/>
              <w:rPr>
                <w:b/>
                <w:bCs/>
                <w:noProof/>
              </w:rPr>
            </w:pPr>
          </w:p>
          <w:p w14:paraId="68DC7800" w14:textId="77777777" w:rsidR="00050D78" w:rsidRDefault="00050D78" w:rsidP="00C15EBB">
            <w:pPr>
              <w:jc w:val="center"/>
              <w:rPr>
                <w:b/>
                <w:bCs/>
                <w:noProof/>
              </w:rPr>
            </w:pPr>
          </w:p>
          <w:p w14:paraId="7E717535" w14:textId="77777777" w:rsidR="00050D78" w:rsidRDefault="00050D78" w:rsidP="00C15EBB">
            <w:pPr>
              <w:jc w:val="center"/>
              <w:rPr>
                <w:b/>
                <w:bCs/>
                <w:noProof/>
              </w:rPr>
            </w:pPr>
          </w:p>
          <w:p w14:paraId="603E238C" w14:textId="77777777" w:rsidR="00050D78" w:rsidRDefault="00050D78" w:rsidP="00C15EBB">
            <w:pPr>
              <w:jc w:val="center"/>
              <w:rPr>
                <w:b/>
                <w:bCs/>
                <w:noProof/>
              </w:rPr>
            </w:pPr>
          </w:p>
          <w:p w14:paraId="0A7E78B6" w14:textId="77777777" w:rsidR="00050D78" w:rsidRDefault="00050D78" w:rsidP="00C15EBB">
            <w:pPr>
              <w:jc w:val="center"/>
              <w:rPr>
                <w:b/>
                <w:bCs/>
                <w:noProof/>
              </w:rPr>
            </w:pPr>
          </w:p>
          <w:p w14:paraId="0AB16F56" w14:textId="77777777" w:rsidR="00050D78" w:rsidRDefault="00050D78" w:rsidP="00C15EBB">
            <w:pPr>
              <w:jc w:val="center"/>
              <w:rPr>
                <w:b/>
                <w:bCs/>
                <w:noProof/>
              </w:rPr>
            </w:pPr>
          </w:p>
          <w:p w14:paraId="7400F4C4" w14:textId="77777777" w:rsidR="00050D78" w:rsidRDefault="00050D78" w:rsidP="00C15EBB">
            <w:pPr>
              <w:jc w:val="center"/>
              <w:rPr>
                <w:b/>
                <w:bCs/>
                <w:noProof/>
              </w:rPr>
            </w:pPr>
          </w:p>
          <w:p w14:paraId="14AA4AB5" w14:textId="77777777" w:rsidR="00050D78" w:rsidRDefault="00050D78" w:rsidP="00C15EBB">
            <w:pPr>
              <w:jc w:val="center"/>
              <w:rPr>
                <w:b/>
                <w:bCs/>
                <w:noProof/>
              </w:rPr>
            </w:pPr>
          </w:p>
          <w:p w14:paraId="0A1B8B46" w14:textId="77777777" w:rsidR="00050D78" w:rsidRDefault="00050D78" w:rsidP="00C15EBB">
            <w:pPr>
              <w:jc w:val="center"/>
              <w:rPr>
                <w:b/>
                <w:bCs/>
                <w:noProof/>
              </w:rPr>
            </w:pPr>
          </w:p>
          <w:p w14:paraId="54EE9452" w14:textId="6400B48E" w:rsidR="00D64E07" w:rsidRPr="00B52DEE" w:rsidRDefault="00D64E07" w:rsidP="00C15EBB">
            <w:pPr>
              <w:jc w:val="center"/>
              <w:rPr>
                <w:b/>
                <w:bCs/>
                <w:noProof/>
              </w:rPr>
            </w:pPr>
            <w:r w:rsidRPr="00E824CB">
              <w:rPr>
                <w:b/>
                <w:bCs/>
                <w:noProof/>
                <w:sz w:val="24"/>
                <w:szCs w:val="24"/>
              </w:rPr>
              <w:t>Justificativa de preços</w:t>
            </w:r>
            <w:r>
              <w:rPr>
                <w:b/>
                <w:bCs/>
                <w:noProof/>
              </w:rPr>
              <w:t xml:space="preserve"> </w:t>
            </w:r>
          </w:p>
        </w:tc>
        <w:tc>
          <w:tcPr>
            <w:tcW w:w="3059" w:type="dxa"/>
          </w:tcPr>
          <w:p w14:paraId="5FBCFACF" w14:textId="79B21CF7" w:rsidR="00D64E07" w:rsidRDefault="00D64E07">
            <w:pPr>
              <w:rPr>
                <w:noProof/>
              </w:rPr>
            </w:pPr>
            <w:r>
              <w:rPr>
                <w:rFonts w:cstheme="minorHAnsi"/>
                <w:color w:val="000000"/>
                <w:sz w:val="24"/>
                <w:szCs w:val="24"/>
              </w:rPr>
              <w:t>Ausência de pesquisa de preços ou estimativa insuficiente.</w:t>
            </w:r>
          </w:p>
        </w:tc>
        <w:tc>
          <w:tcPr>
            <w:tcW w:w="8424" w:type="dxa"/>
          </w:tcPr>
          <w:p w14:paraId="028C4325" w14:textId="0532FB0A" w:rsidR="00D64E07" w:rsidRDefault="00D81382" w:rsidP="00D81382">
            <w:pPr>
              <w:jc w:val="both"/>
              <w:rPr>
                <w:noProof/>
              </w:rPr>
            </w:pPr>
            <w:r>
              <w:rPr>
                <w:rFonts w:cstheme="minorHAnsi"/>
                <w:color w:val="000000"/>
                <w:sz w:val="24"/>
                <w:szCs w:val="24"/>
              </w:rPr>
              <w:t xml:space="preserve">- </w:t>
            </w:r>
            <w:r w:rsidR="00D64E07">
              <w:rPr>
                <w:rFonts w:cstheme="minorHAnsi"/>
                <w:color w:val="000000"/>
                <w:sz w:val="24"/>
                <w:szCs w:val="24"/>
              </w:rPr>
              <w:t xml:space="preserve">Examinar se a pesquisa de preços está sendo realizada satisfatoriamente, verificando: preços atuais praticados por outros Municípios ou pelo Estado e União, e por outros fornecedores. Devem estar demonstradas nos autos as tentativas empreendidas de assegurar amplitude à pesquisa (cópias de </w:t>
            </w:r>
            <w:proofErr w:type="spellStart"/>
            <w:r w:rsidR="00D64E07">
              <w:rPr>
                <w:rFonts w:cstheme="minorHAnsi"/>
                <w:color w:val="000000"/>
                <w:sz w:val="24"/>
                <w:szCs w:val="24"/>
              </w:rPr>
              <w:t>emails</w:t>
            </w:r>
            <w:proofErr w:type="spellEnd"/>
            <w:r w:rsidR="00D64E07">
              <w:rPr>
                <w:rFonts w:cstheme="minorHAnsi"/>
                <w:color w:val="000000"/>
                <w:sz w:val="24"/>
                <w:szCs w:val="24"/>
              </w:rPr>
              <w:t xml:space="preserve"> de envio/resposta, consulta a sítios eletrônicos), bem como deve haver justificativa formalizada nos autos, caso tenha havido impossibilidade de ampliação da pesquisa.</w:t>
            </w:r>
          </w:p>
        </w:tc>
      </w:tr>
      <w:tr w:rsidR="00D64E07" w14:paraId="326FB11C" w14:textId="77777777" w:rsidTr="00EE4CA9">
        <w:tc>
          <w:tcPr>
            <w:tcW w:w="2511" w:type="dxa"/>
            <w:vMerge/>
          </w:tcPr>
          <w:p w14:paraId="1852FD7A" w14:textId="77777777" w:rsidR="00D64E07" w:rsidRPr="00B52DEE" w:rsidRDefault="00D64E07" w:rsidP="00C15EBB">
            <w:pPr>
              <w:jc w:val="center"/>
              <w:rPr>
                <w:b/>
                <w:bCs/>
                <w:noProof/>
              </w:rPr>
            </w:pPr>
          </w:p>
        </w:tc>
        <w:tc>
          <w:tcPr>
            <w:tcW w:w="3059" w:type="dxa"/>
          </w:tcPr>
          <w:p w14:paraId="42D2E77E" w14:textId="7776E19D" w:rsidR="00D64E07" w:rsidRPr="008F5022" w:rsidRDefault="00D07106">
            <w:pPr>
              <w:rPr>
                <w:noProof/>
                <w:sz w:val="24"/>
                <w:szCs w:val="24"/>
              </w:rPr>
            </w:pPr>
            <w:r w:rsidRPr="008F5022">
              <w:rPr>
                <w:rFonts w:cstheme="minorHAnsi"/>
                <w:sz w:val="24"/>
                <w:szCs w:val="24"/>
              </w:rPr>
              <w:t>Prática de sobrepreços decorrentes da alta demanda por produtos e serviços ligados à pandemia do Covid-19.</w:t>
            </w:r>
          </w:p>
        </w:tc>
        <w:tc>
          <w:tcPr>
            <w:tcW w:w="8424" w:type="dxa"/>
          </w:tcPr>
          <w:p w14:paraId="3007B320" w14:textId="469264A4" w:rsidR="00D64E07" w:rsidRPr="00D07106" w:rsidRDefault="00D07106" w:rsidP="00D07106">
            <w:pPr>
              <w:pStyle w:val="Default"/>
              <w:jc w:val="both"/>
              <w:rPr>
                <w:rFonts w:asciiTheme="minorHAnsi" w:hAnsiTheme="minorHAnsi" w:cstheme="minorHAnsi"/>
                <w:color w:val="000000" w:themeColor="text1"/>
              </w:rPr>
            </w:pPr>
            <w:r>
              <w:rPr>
                <w:rFonts w:asciiTheme="minorHAnsi" w:hAnsiTheme="minorHAnsi" w:cstheme="minorHAnsi"/>
              </w:rPr>
              <w:t>a)</w:t>
            </w:r>
            <w:r>
              <w:rPr>
                <w:rFonts w:asciiTheme="minorHAnsi" w:hAnsiTheme="minorHAnsi" w:cstheme="minorHAnsi"/>
                <w:b/>
              </w:rPr>
              <w:t xml:space="preserve"> </w:t>
            </w:r>
            <w:r>
              <w:rPr>
                <w:rFonts w:asciiTheme="minorHAnsi" w:hAnsiTheme="minorHAnsi" w:cstheme="minorHAnsi"/>
              </w:rPr>
              <w:t>Examinar em sítios exclusivos da Covid-19 de outros Estados e Municípios as aquisições para o mesmo objeto, no caso de a contratação/aquisição ter sido realizada por outros entes públicos. b) Comparar os preços a serem praticados com os de outros realizados pela empresa atualmente (seja com entes públicos ou entes privados), e se foi buscada negociação de preços mais atrativos pelo ente público examinado. c) Verificar se foram utilizados preços de referências e/ou tabelados, se for o caso. d) Sugere-se seja examinada, também, a justificativa do preço da contratação baseada em pesquisa de preços, se foi precedida de análise crítica do setor responsável pela pesquisa, observando os parâmetros do inciso VI, §1º, art. 4º-E, da Lei nº 13.979/20. e) Caso seja detectado excessivo sobrepreço, examinar se o gestor buscou negociação com os fornecedores e se fez constar no processo a negociação ou tentativa de negociação realizada</w:t>
            </w:r>
            <w:r>
              <w:rPr>
                <w:rFonts w:asciiTheme="minorHAnsi" w:hAnsiTheme="minorHAnsi" w:cstheme="minorHAnsi"/>
                <w:color w:val="000000" w:themeColor="text1"/>
              </w:rPr>
              <w:t xml:space="preserve"> </w:t>
            </w:r>
          </w:p>
        </w:tc>
      </w:tr>
      <w:tr w:rsidR="00D64E07" w14:paraId="60221BA6" w14:textId="77777777" w:rsidTr="00EE4CA9">
        <w:tc>
          <w:tcPr>
            <w:tcW w:w="2511" w:type="dxa"/>
            <w:vMerge/>
          </w:tcPr>
          <w:p w14:paraId="49383CBB" w14:textId="77777777" w:rsidR="00D64E07" w:rsidRPr="00B52DEE" w:rsidRDefault="00D64E07" w:rsidP="00C15EBB">
            <w:pPr>
              <w:jc w:val="center"/>
              <w:rPr>
                <w:b/>
                <w:bCs/>
                <w:noProof/>
              </w:rPr>
            </w:pPr>
          </w:p>
        </w:tc>
        <w:tc>
          <w:tcPr>
            <w:tcW w:w="3059" w:type="dxa"/>
          </w:tcPr>
          <w:p w14:paraId="0D7EAFAC" w14:textId="4B5493F0" w:rsidR="00D64E07" w:rsidRPr="008F5022" w:rsidRDefault="00D07106">
            <w:pPr>
              <w:rPr>
                <w:noProof/>
                <w:sz w:val="24"/>
                <w:szCs w:val="24"/>
              </w:rPr>
            </w:pPr>
            <w:r w:rsidRPr="008F5022">
              <w:rPr>
                <w:rFonts w:cstheme="minorHAnsi"/>
                <w:color w:val="000000" w:themeColor="text1"/>
                <w:sz w:val="24"/>
                <w:szCs w:val="24"/>
              </w:rPr>
              <w:t>Manipulação de preços por empresas, visando a aumentar o valor a ser firmado.</w:t>
            </w:r>
          </w:p>
        </w:tc>
        <w:tc>
          <w:tcPr>
            <w:tcW w:w="8424" w:type="dxa"/>
          </w:tcPr>
          <w:p w14:paraId="502615E0" w14:textId="35B10A14" w:rsidR="00D64E07" w:rsidRPr="00031AAF" w:rsidRDefault="00D07106" w:rsidP="00D07106">
            <w:pPr>
              <w:pStyle w:val="Default"/>
              <w:jc w:val="both"/>
              <w:rPr>
                <w:rFonts w:asciiTheme="minorHAnsi" w:hAnsiTheme="minorHAnsi" w:cstheme="minorHAnsi"/>
                <w:color w:val="000000" w:themeColor="text1"/>
              </w:rPr>
            </w:pPr>
            <w:r w:rsidRPr="00031AAF">
              <w:rPr>
                <w:rFonts w:asciiTheme="minorHAnsi" w:hAnsiTheme="minorHAnsi" w:cstheme="minorHAnsi"/>
                <w:color w:val="000000" w:themeColor="text1"/>
              </w:rPr>
              <w:t>a)</w:t>
            </w:r>
            <w:r w:rsidRPr="00031AAF">
              <w:rPr>
                <w:rFonts w:asciiTheme="minorHAnsi" w:hAnsiTheme="minorHAnsi" w:cstheme="minorHAnsi"/>
                <w:b/>
                <w:color w:val="000000" w:themeColor="text1"/>
              </w:rPr>
              <w:t xml:space="preserve"> </w:t>
            </w:r>
            <w:r w:rsidRPr="00031AAF">
              <w:rPr>
                <w:rFonts w:asciiTheme="minorHAnsi" w:hAnsiTheme="minorHAnsi" w:cstheme="minorHAnsi"/>
                <w:color w:val="000000" w:themeColor="text1"/>
              </w:rPr>
              <w:t xml:space="preserve">Verificar se foi consultado o maior número possível de fornecedores. b) Verificar se foram adotadas práticas para evitar o conluio, como por exemplo se a contratação foi estruturada de forma a maximizar a participação potencial de candidatos que genuinamente concorram entre si e se não houve divulgação às empresas das outras fontes consultadas. c) Verificar se o quadro societário das empresas contratadas possui algum vínculo com agentes públicos do ente municipal contratante. d) Verificar se foi analisado pelo ente público se os possíveis fornecedores das propostas possuíam vínculo societário comum. e) Verificar se foi analisado pelo ente </w:t>
            </w:r>
            <w:r w:rsidRPr="00031AAF">
              <w:rPr>
                <w:rFonts w:asciiTheme="minorHAnsi" w:hAnsiTheme="minorHAnsi" w:cstheme="minorHAnsi"/>
                <w:color w:val="000000" w:themeColor="text1"/>
              </w:rPr>
              <w:lastRenderedPageBreak/>
              <w:t>público se havia similaridade de propostas de fornecedores em termos de valores e mesma formatação.</w:t>
            </w:r>
          </w:p>
        </w:tc>
      </w:tr>
      <w:tr w:rsidR="000B149C" w14:paraId="0F9D4D15" w14:textId="77777777" w:rsidTr="00EE4CA9">
        <w:tc>
          <w:tcPr>
            <w:tcW w:w="2511" w:type="dxa"/>
            <w:vMerge w:val="restart"/>
          </w:tcPr>
          <w:p w14:paraId="6ED7B69C" w14:textId="3A9B6082" w:rsidR="000B149C" w:rsidRPr="00977AE3" w:rsidRDefault="000B149C" w:rsidP="00E824CB">
            <w:pPr>
              <w:jc w:val="center"/>
              <w:rPr>
                <w:b/>
                <w:bCs/>
                <w:noProof/>
              </w:rPr>
            </w:pPr>
            <w:r w:rsidRPr="00E824CB">
              <w:rPr>
                <w:b/>
                <w:bCs/>
                <w:noProof/>
                <w:sz w:val="24"/>
                <w:szCs w:val="24"/>
              </w:rPr>
              <w:lastRenderedPageBreak/>
              <w:t>Entrega do Material/Equipamento (Especificação, prazo e logística)</w:t>
            </w:r>
          </w:p>
        </w:tc>
        <w:tc>
          <w:tcPr>
            <w:tcW w:w="3059" w:type="dxa"/>
          </w:tcPr>
          <w:p w14:paraId="64857EA6" w14:textId="50A6D806" w:rsidR="000B149C" w:rsidRDefault="000B149C">
            <w:pPr>
              <w:rPr>
                <w:noProof/>
              </w:rPr>
            </w:pPr>
            <w:r w:rsidRPr="008F5022">
              <w:rPr>
                <w:rFonts w:cstheme="minorHAnsi"/>
                <w:color w:val="000000" w:themeColor="text1"/>
                <w:sz w:val="24"/>
                <w:szCs w:val="24"/>
              </w:rPr>
              <w:t>Prazo extenso definido para entrega, tornando a aquisição inoportuna.</w:t>
            </w:r>
          </w:p>
        </w:tc>
        <w:tc>
          <w:tcPr>
            <w:tcW w:w="8424" w:type="dxa"/>
          </w:tcPr>
          <w:p w14:paraId="7058896F" w14:textId="7E43BD27" w:rsidR="000B149C" w:rsidRDefault="0076470D">
            <w:pPr>
              <w:rPr>
                <w:noProof/>
              </w:rPr>
            </w:pPr>
            <w:r>
              <w:rPr>
                <w:rFonts w:cstheme="minorHAnsi"/>
                <w:color w:val="000000" w:themeColor="text1"/>
              </w:rPr>
              <w:t xml:space="preserve">- </w:t>
            </w:r>
            <w:r w:rsidR="000B149C">
              <w:rPr>
                <w:rFonts w:cstheme="minorHAnsi"/>
                <w:color w:val="000000" w:themeColor="text1"/>
              </w:rPr>
              <w:t>Verificar se foi estabelecido prazo condizente com a urgência da situação.</w:t>
            </w:r>
          </w:p>
        </w:tc>
      </w:tr>
      <w:tr w:rsidR="000B149C" w14:paraId="4751A9ED" w14:textId="77777777" w:rsidTr="00EE4CA9">
        <w:tc>
          <w:tcPr>
            <w:tcW w:w="2511" w:type="dxa"/>
            <w:vMerge/>
          </w:tcPr>
          <w:p w14:paraId="0420AA36" w14:textId="77777777" w:rsidR="000B149C" w:rsidRPr="00B52DEE" w:rsidRDefault="000B149C" w:rsidP="00C15EBB">
            <w:pPr>
              <w:jc w:val="center"/>
              <w:rPr>
                <w:b/>
                <w:bCs/>
                <w:noProof/>
              </w:rPr>
            </w:pPr>
          </w:p>
        </w:tc>
        <w:tc>
          <w:tcPr>
            <w:tcW w:w="3059" w:type="dxa"/>
          </w:tcPr>
          <w:p w14:paraId="742E7FFA" w14:textId="7D3F5034" w:rsidR="000B149C" w:rsidRDefault="000B149C">
            <w:pPr>
              <w:rPr>
                <w:noProof/>
              </w:rPr>
            </w:pPr>
            <w:r>
              <w:rPr>
                <w:rFonts w:cstheme="minorHAnsi"/>
                <w:color w:val="000000" w:themeColor="text1"/>
                <w:sz w:val="24"/>
                <w:szCs w:val="24"/>
              </w:rPr>
              <w:t>Entrega intempestiva dos materiais/equipamentos (após o pico de necessidade).</w:t>
            </w:r>
          </w:p>
        </w:tc>
        <w:tc>
          <w:tcPr>
            <w:tcW w:w="8424" w:type="dxa"/>
          </w:tcPr>
          <w:p w14:paraId="36F09A06" w14:textId="2B8E9FFD" w:rsidR="000B149C" w:rsidRDefault="0076470D">
            <w:pPr>
              <w:rPr>
                <w:noProof/>
              </w:rPr>
            </w:pPr>
            <w:r>
              <w:rPr>
                <w:rFonts w:cstheme="minorHAnsi"/>
                <w:color w:val="000000" w:themeColor="text1"/>
                <w:sz w:val="24"/>
                <w:szCs w:val="24"/>
              </w:rPr>
              <w:t xml:space="preserve">a) </w:t>
            </w:r>
            <w:r w:rsidR="000B149C">
              <w:rPr>
                <w:rFonts w:cstheme="minorHAnsi"/>
                <w:color w:val="000000" w:themeColor="text1"/>
                <w:sz w:val="24"/>
                <w:szCs w:val="24"/>
              </w:rPr>
              <w:t xml:space="preserve">Examinar se foi definido cronograma com a possibilidade de entregas parceladas para grandes quantidades, se for o caso, condizentes com a urgência da situação. b) Verificar se foi definida responsabilização condizente com a urgência da situação para o fornecedor que entregar em atraso, sem justificativa adequada. c) Verificar se eventual </w:t>
            </w:r>
            <w:r w:rsidR="000B149C">
              <w:rPr>
                <w:rFonts w:cstheme="minorHAnsi"/>
                <w:sz w:val="24"/>
                <w:szCs w:val="24"/>
              </w:rPr>
              <w:t>previsão contratual de antecipação de pagamento foi devidamente justificada, quanto à necessidade  para o atendimento da pretensão administrativa, com informação detalhada dos benefícios e riscos da antecipação, e se foi acompanhada de medidas de garantia (ex: entrega e pagamento parcial ou programada, garantia ou seguro, cláusula de ressarcimento).</w:t>
            </w:r>
          </w:p>
        </w:tc>
      </w:tr>
      <w:tr w:rsidR="000B149C" w14:paraId="0E34BA10" w14:textId="77777777" w:rsidTr="00EE4CA9">
        <w:tc>
          <w:tcPr>
            <w:tcW w:w="2511" w:type="dxa"/>
            <w:vMerge/>
          </w:tcPr>
          <w:p w14:paraId="05D87F01" w14:textId="77777777" w:rsidR="000B149C" w:rsidRPr="00B52DEE" w:rsidRDefault="000B149C" w:rsidP="00C15EBB">
            <w:pPr>
              <w:jc w:val="center"/>
              <w:rPr>
                <w:b/>
                <w:bCs/>
                <w:noProof/>
              </w:rPr>
            </w:pPr>
          </w:p>
        </w:tc>
        <w:tc>
          <w:tcPr>
            <w:tcW w:w="3059" w:type="dxa"/>
          </w:tcPr>
          <w:p w14:paraId="5D8CFEA3" w14:textId="6C7F7A32" w:rsidR="000B149C" w:rsidRDefault="000B149C">
            <w:pPr>
              <w:rPr>
                <w:rFonts w:cstheme="minorHAnsi"/>
                <w:color w:val="000000" w:themeColor="text1"/>
                <w:sz w:val="24"/>
                <w:szCs w:val="24"/>
              </w:rPr>
            </w:pPr>
            <w:r>
              <w:rPr>
                <w:rFonts w:cstheme="minorHAnsi"/>
                <w:sz w:val="24"/>
                <w:szCs w:val="24"/>
              </w:rPr>
              <w:t>Entrega de materiais/equipamentos fora das especificações definidas.</w:t>
            </w:r>
          </w:p>
        </w:tc>
        <w:tc>
          <w:tcPr>
            <w:tcW w:w="8424" w:type="dxa"/>
          </w:tcPr>
          <w:p w14:paraId="051192AD" w14:textId="24E5BEDA" w:rsidR="000B149C" w:rsidRPr="00D81382" w:rsidRDefault="0076470D" w:rsidP="00D81382">
            <w:pPr>
              <w:autoSpaceDE w:val="0"/>
              <w:autoSpaceDN w:val="0"/>
              <w:adjustRightInd w:val="0"/>
              <w:rPr>
                <w:rFonts w:cstheme="minorHAnsi"/>
                <w:sz w:val="24"/>
                <w:szCs w:val="24"/>
              </w:rPr>
            </w:pPr>
            <w:r>
              <w:rPr>
                <w:rFonts w:cstheme="minorHAnsi"/>
                <w:sz w:val="24"/>
                <w:szCs w:val="24"/>
              </w:rPr>
              <w:t xml:space="preserve">- </w:t>
            </w:r>
            <w:r w:rsidR="000B149C">
              <w:rPr>
                <w:rFonts w:cstheme="minorHAnsi"/>
                <w:sz w:val="24"/>
                <w:szCs w:val="24"/>
              </w:rPr>
              <w:t>Examinar se as especificações do objeto foram estabelecidas de forma objetiva, precisa, suficiente e clara.</w:t>
            </w:r>
          </w:p>
        </w:tc>
      </w:tr>
      <w:tr w:rsidR="000B149C" w14:paraId="0CDB42CF" w14:textId="77777777" w:rsidTr="00EE4CA9">
        <w:tc>
          <w:tcPr>
            <w:tcW w:w="2511" w:type="dxa"/>
            <w:vMerge/>
          </w:tcPr>
          <w:p w14:paraId="73ACCC0F" w14:textId="77777777" w:rsidR="000B149C" w:rsidRPr="00B52DEE" w:rsidRDefault="000B149C" w:rsidP="00C15EBB">
            <w:pPr>
              <w:jc w:val="center"/>
              <w:rPr>
                <w:b/>
                <w:bCs/>
                <w:noProof/>
              </w:rPr>
            </w:pPr>
          </w:p>
        </w:tc>
        <w:tc>
          <w:tcPr>
            <w:tcW w:w="3059" w:type="dxa"/>
          </w:tcPr>
          <w:p w14:paraId="471D5DC0" w14:textId="1B1FAF38" w:rsidR="000B149C" w:rsidRDefault="000B149C">
            <w:pPr>
              <w:rPr>
                <w:noProof/>
              </w:rPr>
            </w:pPr>
            <w:r>
              <w:rPr>
                <w:rFonts w:cstheme="minorHAnsi"/>
                <w:sz w:val="24"/>
                <w:szCs w:val="24"/>
              </w:rPr>
              <w:t>Entrega de materiais/equipamentos em quantitativos inferiores aos demandados.</w:t>
            </w:r>
          </w:p>
        </w:tc>
        <w:tc>
          <w:tcPr>
            <w:tcW w:w="8424" w:type="dxa"/>
          </w:tcPr>
          <w:p w14:paraId="4CA263CB" w14:textId="7CC2662A" w:rsidR="000B149C" w:rsidRPr="008F5022" w:rsidRDefault="00D81382" w:rsidP="00D81382">
            <w:pPr>
              <w:pStyle w:val="Default"/>
              <w:jc w:val="both"/>
              <w:rPr>
                <w:rFonts w:cstheme="minorHAnsi"/>
              </w:rPr>
            </w:pPr>
            <w:r>
              <w:rPr>
                <w:rFonts w:asciiTheme="minorHAnsi" w:hAnsiTheme="minorHAnsi" w:cstheme="minorHAnsi"/>
                <w:color w:val="000000" w:themeColor="text1"/>
              </w:rPr>
              <w:t xml:space="preserve">a) </w:t>
            </w:r>
            <w:r w:rsidR="000B149C" w:rsidRPr="00D81382">
              <w:rPr>
                <w:rFonts w:asciiTheme="minorHAnsi" w:hAnsiTheme="minorHAnsi" w:cstheme="minorHAnsi"/>
                <w:color w:val="000000" w:themeColor="text1"/>
              </w:rPr>
              <w:t>Verificar se foi observada rotina administrativa de conferência do quantitativo dos materiais, por servidor designado ou por Comissão devidamente constituída para recebimento do objeto. b) Verificar se foram estabelecidas rotinas de conferência de materiais. c) Verificar se houve definição prévia, no contrato ou no termo de referência, dos locais e endereços corretos de entrega, bem como dos quantitativos para cada local, com definição do responsável pelo recebimento, conferência e certificação em cada local. d) Identificar o responsável pela liquidação da despesa.</w:t>
            </w:r>
          </w:p>
        </w:tc>
      </w:tr>
      <w:tr w:rsidR="00EE4CA9" w14:paraId="5B660E8C" w14:textId="77777777" w:rsidTr="00EE4CA9">
        <w:tc>
          <w:tcPr>
            <w:tcW w:w="2511" w:type="dxa"/>
            <w:vMerge w:val="restart"/>
          </w:tcPr>
          <w:p w14:paraId="494DB15F" w14:textId="77777777" w:rsidR="00EE4CA9" w:rsidRDefault="00EE4CA9" w:rsidP="00C15EBB">
            <w:pPr>
              <w:jc w:val="center"/>
              <w:rPr>
                <w:b/>
                <w:bCs/>
                <w:noProof/>
              </w:rPr>
            </w:pPr>
          </w:p>
          <w:p w14:paraId="6E2BFF67" w14:textId="174617FC" w:rsidR="00EE4CA9" w:rsidRPr="00B52DEE" w:rsidRDefault="00EE4CA9" w:rsidP="00C15EBB">
            <w:pPr>
              <w:jc w:val="center"/>
              <w:rPr>
                <w:b/>
                <w:bCs/>
                <w:noProof/>
              </w:rPr>
            </w:pPr>
            <w:r w:rsidRPr="00E824CB">
              <w:rPr>
                <w:b/>
                <w:bCs/>
                <w:noProof/>
                <w:sz w:val="24"/>
                <w:szCs w:val="24"/>
              </w:rPr>
              <w:lastRenderedPageBreak/>
              <w:t>Execução orçamentária e financeira</w:t>
            </w:r>
          </w:p>
        </w:tc>
        <w:tc>
          <w:tcPr>
            <w:tcW w:w="3059" w:type="dxa"/>
          </w:tcPr>
          <w:p w14:paraId="28F1F5C6" w14:textId="430E05B9" w:rsidR="00EE4CA9" w:rsidRPr="008F5022" w:rsidRDefault="00EE4CA9">
            <w:pPr>
              <w:rPr>
                <w:rFonts w:cstheme="minorHAnsi"/>
                <w:color w:val="000000" w:themeColor="text1"/>
                <w:sz w:val="24"/>
                <w:szCs w:val="24"/>
              </w:rPr>
            </w:pPr>
            <w:r w:rsidRPr="008F5022">
              <w:rPr>
                <w:rFonts w:cstheme="minorHAnsi"/>
                <w:color w:val="000000" w:themeColor="text1"/>
                <w:sz w:val="24"/>
                <w:szCs w:val="24"/>
              </w:rPr>
              <w:lastRenderedPageBreak/>
              <w:t>Atraso no pagamento por insuficiência de recursos.</w:t>
            </w:r>
          </w:p>
        </w:tc>
        <w:tc>
          <w:tcPr>
            <w:tcW w:w="8424" w:type="dxa"/>
          </w:tcPr>
          <w:p w14:paraId="656E815F" w14:textId="433705EA" w:rsidR="00EE4CA9" w:rsidRPr="00B56188" w:rsidRDefault="00BE1262" w:rsidP="00B56188">
            <w:pPr>
              <w:pStyle w:val="Default"/>
              <w:jc w:val="both"/>
              <w:rPr>
                <w:rFonts w:asciiTheme="minorHAnsi" w:hAnsiTheme="minorHAnsi" w:cstheme="minorHAnsi"/>
                <w:color w:val="000000" w:themeColor="text1"/>
              </w:rPr>
            </w:pPr>
            <w:r>
              <w:rPr>
                <w:rFonts w:asciiTheme="minorHAnsi" w:hAnsiTheme="minorHAnsi" w:cstheme="minorHAnsi"/>
                <w:color w:val="000000" w:themeColor="text1"/>
              </w:rPr>
              <w:t>-</w:t>
            </w:r>
            <w:r w:rsidR="00EE4CA9">
              <w:rPr>
                <w:rFonts w:asciiTheme="minorHAnsi" w:hAnsiTheme="minorHAnsi" w:cstheme="minorHAnsi"/>
                <w:color w:val="000000" w:themeColor="text1"/>
              </w:rPr>
              <w:t xml:space="preserve"> </w:t>
            </w:r>
            <w:r>
              <w:rPr>
                <w:rFonts w:asciiTheme="minorHAnsi" w:hAnsiTheme="minorHAnsi" w:cstheme="minorHAnsi"/>
                <w:color w:val="000000" w:themeColor="text1"/>
              </w:rPr>
              <w:t>V</w:t>
            </w:r>
            <w:r w:rsidR="00EE4CA9">
              <w:rPr>
                <w:rFonts w:asciiTheme="minorHAnsi" w:hAnsiTheme="minorHAnsi" w:cstheme="minorHAnsi"/>
                <w:color w:val="000000" w:themeColor="text1"/>
              </w:rPr>
              <w:t>erificar se foi atendida a exigência do art. 4º-E, §1º, VII (adequação orçamentária) e quem foi o responsável por declarar a existência da disponibilidade financeira para a contratação.</w:t>
            </w:r>
          </w:p>
        </w:tc>
      </w:tr>
      <w:tr w:rsidR="00EE4CA9" w14:paraId="31CA941F" w14:textId="77777777" w:rsidTr="00EE4CA9">
        <w:tc>
          <w:tcPr>
            <w:tcW w:w="2511" w:type="dxa"/>
            <w:vMerge/>
          </w:tcPr>
          <w:p w14:paraId="7549066B" w14:textId="77777777" w:rsidR="00EE4CA9" w:rsidRPr="00B52DEE" w:rsidRDefault="00EE4CA9" w:rsidP="00C15EBB">
            <w:pPr>
              <w:jc w:val="center"/>
              <w:rPr>
                <w:b/>
                <w:bCs/>
                <w:noProof/>
              </w:rPr>
            </w:pPr>
          </w:p>
        </w:tc>
        <w:tc>
          <w:tcPr>
            <w:tcW w:w="3059" w:type="dxa"/>
          </w:tcPr>
          <w:p w14:paraId="0D8836DA" w14:textId="4E85BE7B" w:rsidR="00EE4CA9" w:rsidRPr="008F5022" w:rsidRDefault="00EE4CA9">
            <w:pPr>
              <w:rPr>
                <w:rFonts w:cstheme="minorHAnsi"/>
                <w:color w:val="000000" w:themeColor="text1"/>
                <w:sz w:val="24"/>
                <w:szCs w:val="24"/>
              </w:rPr>
            </w:pPr>
            <w:r w:rsidRPr="008F5022">
              <w:rPr>
                <w:rFonts w:cstheme="minorHAnsi"/>
                <w:color w:val="000000" w:themeColor="text1"/>
                <w:sz w:val="24"/>
                <w:szCs w:val="24"/>
              </w:rPr>
              <w:t>Pagamento indevido ou em valores incorretos.</w:t>
            </w:r>
          </w:p>
        </w:tc>
        <w:tc>
          <w:tcPr>
            <w:tcW w:w="8424" w:type="dxa"/>
          </w:tcPr>
          <w:p w14:paraId="3DAD05F6" w14:textId="253994ED" w:rsidR="00EE4CA9" w:rsidRDefault="00EE4CA9">
            <w:pPr>
              <w:rPr>
                <w:noProof/>
              </w:rPr>
            </w:pPr>
            <w:r>
              <w:rPr>
                <w:rFonts w:cstheme="minorHAnsi"/>
                <w:color w:val="000000" w:themeColor="text1"/>
              </w:rPr>
              <w:t>- Verificar quem foi o responsável pela ordem de pagamento incorreta e se observou a rotina de conferência antes de ordenar o pagamento.</w:t>
            </w:r>
          </w:p>
        </w:tc>
      </w:tr>
      <w:tr w:rsidR="00EE4CA9" w14:paraId="08571E00" w14:textId="77777777" w:rsidTr="00EE4CA9">
        <w:tc>
          <w:tcPr>
            <w:tcW w:w="2511" w:type="dxa"/>
            <w:vMerge/>
          </w:tcPr>
          <w:p w14:paraId="27D34E9A" w14:textId="77777777" w:rsidR="00EE4CA9" w:rsidRPr="00B52DEE" w:rsidRDefault="00EE4CA9" w:rsidP="00C15EBB">
            <w:pPr>
              <w:jc w:val="center"/>
              <w:rPr>
                <w:b/>
                <w:bCs/>
                <w:noProof/>
              </w:rPr>
            </w:pPr>
          </w:p>
        </w:tc>
        <w:tc>
          <w:tcPr>
            <w:tcW w:w="3059" w:type="dxa"/>
          </w:tcPr>
          <w:p w14:paraId="707B3AB7" w14:textId="7B5F379C" w:rsidR="00EE4CA9" w:rsidRPr="008F5022" w:rsidRDefault="00EE4CA9">
            <w:pPr>
              <w:rPr>
                <w:rFonts w:cstheme="minorHAnsi"/>
                <w:color w:val="000000" w:themeColor="text1"/>
                <w:sz w:val="24"/>
                <w:szCs w:val="24"/>
              </w:rPr>
            </w:pPr>
            <w:r w:rsidRPr="008F5022">
              <w:rPr>
                <w:rFonts w:cstheme="minorHAnsi"/>
                <w:color w:val="000000" w:themeColor="text1"/>
                <w:sz w:val="24"/>
                <w:szCs w:val="24"/>
              </w:rPr>
              <w:t>Utilização de recursos financeiros destinados ao enfrentamento da pandemia em despesas não relacionadas ao referido objeto.</w:t>
            </w:r>
          </w:p>
        </w:tc>
        <w:tc>
          <w:tcPr>
            <w:tcW w:w="8424" w:type="dxa"/>
          </w:tcPr>
          <w:p w14:paraId="42887757" w14:textId="13D51EF6" w:rsidR="00EE4CA9" w:rsidRPr="008F5022" w:rsidRDefault="00EE4CA9" w:rsidP="00EE4CA9">
            <w:pPr>
              <w:pStyle w:val="Default"/>
              <w:jc w:val="both"/>
              <w:rPr>
                <w:rFonts w:asciiTheme="minorHAnsi" w:hAnsiTheme="minorHAnsi" w:cstheme="minorHAnsi"/>
                <w:color w:val="000000" w:themeColor="text1"/>
              </w:rPr>
            </w:pPr>
            <w:r w:rsidRPr="008F5022">
              <w:rPr>
                <w:rFonts w:asciiTheme="minorHAnsi" w:hAnsiTheme="minorHAnsi" w:cstheme="minorHAnsi"/>
                <w:color w:val="000000" w:themeColor="text1"/>
              </w:rPr>
              <w:t>- Verificar se houve criação de programa ou ação orçamentária específica para despesas relacionadas ao Covid-19, a exemplo do que fez a União (Governo Federal), por meio das ações orçamentárias “21C0”, “00S4”, “21C2” e “00S5”, pelas quais é possível consultar e detalhar gastos diretos para contenção do COVID-19, conforme recomendação da Nota Técnica SEI nº 12774/2020/ME, da Secretaria do Tesouro Nacional.  Na hipótese de inexistir, requisitar ao gestor municipal informações sobre os motivos.</w:t>
            </w:r>
          </w:p>
        </w:tc>
      </w:tr>
      <w:tr w:rsidR="00B54805" w14:paraId="0C2EFB8F" w14:textId="77777777" w:rsidTr="00EE4CA9">
        <w:tc>
          <w:tcPr>
            <w:tcW w:w="2511" w:type="dxa"/>
          </w:tcPr>
          <w:p w14:paraId="11268DDD" w14:textId="2E06FA1F" w:rsidR="00B54805" w:rsidRPr="00B52DEE" w:rsidRDefault="007154BF" w:rsidP="00C15EBB">
            <w:pPr>
              <w:jc w:val="center"/>
              <w:rPr>
                <w:b/>
                <w:bCs/>
                <w:noProof/>
              </w:rPr>
            </w:pPr>
            <w:r w:rsidRPr="00E824CB">
              <w:rPr>
                <w:b/>
                <w:bCs/>
                <w:noProof/>
                <w:sz w:val="24"/>
                <w:szCs w:val="24"/>
              </w:rPr>
              <w:t>Transparência</w:t>
            </w:r>
          </w:p>
        </w:tc>
        <w:tc>
          <w:tcPr>
            <w:tcW w:w="3059" w:type="dxa"/>
          </w:tcPr>
          <w:p w14:paraId="0F1D230A" w14:textId="0AF33E84" w:rsidR="00B54805" w:rsidRDefault="00B54805" w:rsidP="00B54805">
            <w:pPr>
              <w:jc w:val="both"/>
              <w:rPr>
                <w:noProof/>
              </w:rPr>
            </w:pPr>
            <w:r>
              <w:rPr>
                <w:rFonts w:cstheme="minorHAnsi"/>
                <w:color w:val="000000"/>
                <w:sz w:val="24"/>
                <w:szCs w:val="24"/>
              </w:rPr>
              <w:t>Ausência de publicidade aos contratos previstos na Lei nº 13.979/20.</w:t>
            </w:r>
          </w:p>
        </w:tc>
        <w:tc>
          <w:tcPr>
            <w:tcW w:w="8424" w:type="dxa"/>
          </w:tcPr>
          <w:p w14:paraId="356C6594" w14:textId="6C39CE63" w:rsidR="00BE1262" w:rsidRDefault="00BE1262" w:rsidP="00B54805">
            <w:pPr>
              <w:tabs>
                <w:tab w:val="left" w:pos="3724"/>
              </w:tabs>
              <w:jc w:val="both"/>
              <w:rPr>
                <w:rFonts w:cstheme="minorHAnsi"/>
                <w:color w:val="000000"/>
                <w:sz w:val="24"/>
                <w:szCs w:val="24"/>
              </w:rPr>
            </w:pPr>
            <w:r>
              <w:rPr>
                <w:rFonts w:cstheme="minorHAnsi"/>
                <w:color w:val="000000"/>
                <w:sz w:val="24"/>
                <w:szCs w:val="24"/>
              </w:rPr>
              <w:t xml:space="preserve">- </w:t>
            </w:r>
            <w:r w:rsidR="00B54805">
              <w:rPr>
                <w:rFonts w:cstheme="minorHAnsi"/>
                <w:color w:val="000000"/>
                <w:sz w:val="24"/>
                <w:szCs w:val="24"/>
              </w:rPr>
              <w:t xml:space="preserve">Verificar se o instrumento contratual foi divulgado no sítio eletrônico específico das despesas relacionadas ao Covid-19. </w:t>
            </w:r>
          </w:p>
          <w:p w14:paraId="6BD6029C" w14:textId="31C0722B" w:rsidR="00B54805" w:rsidRPr="00B54805" w:rsidRDefault="00BE1262" w:rsidP="00B54805">
            <w:pPr>
              <w:tabs>
                <w:tab w:val="left" w:pos="3724"/>
              </w:tabs>
              <w:jc w:val="both"/>
              <w:rPr>
                <w:rFonts w:cstheme="minorHAnsi"/>
                <w:color w:val="000000"/>
                <w:sz w:val="24"/>
                <w:szCs w:val="24"/>
              </w:rPr>
            </w:pPr>
            <w:r>
              <w:rPr>
                <w:rFonts w:cstheme="minorHAnsi"/>
                <w:color w:val="000000"/>
                <w:sz w:val="24"/>
                <w:szCs w:val="24"/>
              </w:rPr>
              <w:t xml:space="preserve">Obs.: </w:t>
            </w:r>
            <w:r w:rsidR="00B54805">
              <w:rPr>
                <w:rFonts w:cstheme="minorHAnsi"/>
                <w:color w:val="000000"/>
                <w:sz w:val="24"/>
                <w:szCs w:val="24"/>
              </w:rPr>
              <w:t>A publicação das aquisições e contratações em sítio oficial específico na rede mundial de computadores (internet) deve ser IMEDIATA, contendo o nome do contratado, CPF/CNPJ, o prazo contratual, o valor e o respectivo processo de contratação ou aquisição (art. 4º, §2º , da Lei nº 13.979/20).</w:t>
            </w:r>
          </w:p>
        </w:tc>
      </w:tr>
    </w:tbl>
    <w:p w14:paraId="4B1B8E32" w14:textId="1BF60300" w:rsidR="00CC3D3B" w:rsidRPr="00D97B57" w:rsidRDefault="00C15EBB" w:rsidP="00D81382">
      <w:pPr>
        <w:spacing w:after="0"/>
        <w:jc w:val="both"/>
        <w:rPr>
          <w:rFonts w:cstheme="minorHAnsi"/>
          <w:color w:val="000000"/>
          <w:sz w:val="20"/>
          <w:szCs w:val="20"/>
        </w:rPr>
      </w:pPr>
      <w:r w:rsidRPr="00D97B57">
        <w:rPr>
          <w:rFonts w:cstheme="minorHAnsi"/>
          <w:color w:val="000000"/>
          <w:sz w:val="20"/>
          <w:szCs w:val="20"/>
        </w:rPr>
        <w:t>Fonte</w:t>
      </w:r>
      <w:r w:rsidR="00D81382" w:rsidRPr="00D97B57">
        <w:rPr>
          <w:rFonts w:cstheme="minorHAnsi"/>
          <w:color w:val="000000"/>
          <w:sz w:val="20"/>
          <w:szCs w:val="20"/>
        </w:rPr>
        <w:t>s</w:t>
      </w:r>
      <w:r w:rsidRPr="00D97B57">
        <w:rPr>
          <w:rFonts w:cstheme="minorHAnsi"/>
          <w:color w:val="000000"/>
          <w:sz w:val="20"/>
          <w:szCs w:val="20"/>
        </w:rPr>
        <w:t xml:space="preserve">: </w:t>
      </w:r>
      <w:r w:rsidR="00D81382" w:rsidRPr="00D97B57">
        <w:rPr>
          <w:rFonts w:cstheme="minorHAnsi"/>
          <w:color w:val="000000"/>
          <w:sz w:val="20"/>
          <w:szCs w:val="20"/>
        </w:rPr>
        <w:t xml:space="preserve">Guia de Procedimentos da Controladoria-Geral do Estado de Santa </w:t>
      </w:r>
      <w:r w:rsidR="00D97B57">
        <w:rPr>
          <w:rFonts w:cstheme="minorHAnsi"/>
          <w:color w:val="000000"/>
          <w:sz w:val="20"/>
          <w:szCs w:val="20"/>
        </w:rPr>
        <w:t>Catarina</w:t>
      </w:r>
      <w:r w:rsidR="00D81382" w:rsidRPr="00D97B57">
        <w:rPr>
          <w:rFonts w:cstheme="minorHAnsi"/>
          <w:color w:val="000000"/>
          <w:sz w:val="20"/>
          <w:szCs w:val="20"/>
        </w:rPr>
        <w:t>, Guia Orientativo de Compras e Contratações da Secretaria de Controle e Transparência do Governo do Espírito Santo e Roteiro de verificação das aquisições e contratos do Ministério Público do Estado do Rio Grande do Sul.</w:t>
      </w:r>
    </w:p>
    <w:p w14:paraId="46B9E883" w14:textId="77777777" w:rsidR="00216B3F" w:rsidRDefault="00216B3F"/>
    <w:sectPr w:rsidR="00216B3F" w:rsidSect="000C5483">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C542B"/>
    <w:multiLevelType w:val="hybridMultilevel"/>
    <w:tmpl w:val="A92221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D9A2157"/>
    <w:multiLevelType w:val="hybridMultilevel"/>
    <w:tmpl w:val="082CFFB0"/>
    <w:lvl w:ilvl="0" w:tplc="5FB4DA9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6ABC6E87"/>
    <w:multiLevelType w:val="hybridMultilevel"/>
    <w:tmpl w:val="B816CF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EA0519C"/>
    <w:multiLevelType w:val="hybridMultilevel"/>
    <w:tmpl w:val="CDA025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7E"/>
    <w:rsid w:val="00002342"/>
    <w:rsid w:val="00017756"/>
    <w:rsid w:val="0002141D"/>
    <w:rsid w:val="00021CA4"/>
    <w:rsid w:val="00024754"/>
    <w:rsid w:val="00031AAF"/>
    <w:rsid w:val="00050D78"/>
    <w:rsid w:val="00062946"/>
    <w:rsid w:val="00065D5F"/>
    <w:rsid w:val="000734C0"/>
    <w:rsid w:val="000830A9"/>
    <w:rsid w:val="00095558"/>
    <w:rsid w:val="000B149C"/>
    <w:rsid w:val="000C5483"/>
    <w:rsid w:val="0010131F"/>
    <w:rsid w:val="00113642"/>
    <w:rsid w:val="0011696D"/>
    <w:rsid w:val="00160B26"/>
    <w:rsid w:val="00192906"/>
    <w:rsid w:val="00194DD5"/>
    <w:rsid w:val="001B3BDC"/>
    <w:rsid w:val="001C5896"/>
    <w:rsid w:val="001C7E74"/>
    <w:rsid w:val="001D076F"/>
    <w:rsid w:val="00214B3D"/>
    <w:rsid w:val="00216B3F"/>
    <w:rsid w:val="00245C28"/>
    <w:rsid w:val="00267655"/>
    <w:rsid w:val="002700AB"/>
    <w:rsid w:val="002731E6"/>
    <w:rsid w:val="00281C57"/>
    <w:rsid w:val="00290DDA"/>
    <w:rsid w:val="00291FD7"/>
    <w:rsid w:val="00292323"/>
    <w:rsid w:val="00293E01"/>
    <w:rsid w:val="002B66B3"/>
    <w:rsid w:val="002C7123"/>
    <w:rsid w:val="002D2312"/>
    <w:rsid w:val="002D7644"/>
    <w:rsid w:val="002D77D9"/>
    <w:rsid w:val="003112CE"/>
    <w:rsid w:val="0031324E"/>
    <w:rsid w:val="00337776"/>
    <w:rsid w:val="003B340C"/>
    <w:rsid w:val="003C33FE"/>
    <w:rsid w:val="003D6BA4"/>
    <w:rsid w:val="003D779B"/>
    <w:rsid w:val="00404066"/>
    <w:rsid w:val="00434C23"/>
    <w:rsid w:val="004616E4"/>
    <w:rsid w:val="00472952"/>
    <w:rsid w:val="00475DE6"/>
    <w:rsid w:val="004C46A3"/>
    <w:rsid w:val="00516248"/>
    <w:rsid w:val="00534AEA"/>
    <w:rsid w:val="005506A0"/>
    <w:rsid w:val="00556B1C"/>
    <w:rsid w:val="00562DB9"/>
    <w:rsid w:val="0058465D"/>
    <w:rsid w:val="005961F1"/>
    <w:rsid w:val="005B2DC7"/>
    <w:rsid w:val="005B732B"/>
    <w:rsid w:val="0060458B"/>
    <w:rsid w:val="006130F9"/>
    <w:rsid w:val="0061712B"/>
    <w:rsid w:val="00684C73"/>
    <w:rsid w:val="00691C0E"/>
    <w:rsid w:val="006A5C06"/>
    <w:rsid w:val="006A5C48"/>
    <w:rsid w:val="00704198"/>
    <w:rsid w:val="00711424"/>
    <w:rsid w:val="00712921"/>
    <w:rsid w:val="007154BF"/>
    <w:rsid w:val="00721AC0"/>
    <w:rsid w:val="00735B86"/>
    <w:rsid w:val="007531D3"/>
    <w:rsid w:val="0076470D"/>
    <w:rsid w:val="00783801"/>
    <w:rsid w:val="007B2D06"/>
    <w:rsid w:val="007C057A"/>
    <w:rsid w:val="007E3CC9"/>
    <w:rsid w:val="007F15F6"/>
    <w:rsid w:val="007F728E"/>
    <w:rsid w:val="00846B14"/>
    <w:rsid w:val="00863EBE"/>
    <w:rsid w:val="008D7913"/>
    <w:rsid w:val="008F5022"/>
    <w:rsid w:val="008F6FB3"/>
    <w:rsid w:val="00924991"/>
    <w:rsid w:val="00931DB4"/>
    <w:rsid w:val="00934453"/>
    <w:rsid w:val="00977AE3"/>
    <w:rsid w:val="009F7066"/>
    <w:rsid w:val="00A8439C"/>
    <w:rsid w:val="00A863DD"/>
    <w:rsid w:val="00AD0DE8"/>
    <w:rsid w:val="00AE6B53"/>
    <w:rsid w:val="00AF2C23"/>
    <w:rsid w:val="00B15FF5"/>
    <w:rsid w:val="00B25191"/>
    <w:rsid w:val="00B52DEE"/>
    <w:rsid w:val="00B54805"/>
    <w:rsid w:val="00B56188"/>
    <w:rsid w:val="00B91709"/>
    <w:rsid w:val="00BA4BC3"/>
    <w:rsid w:val="00BB0F9F"/>
    <w:rsid w:val="00BB55A2"/>
    <w:rsid w:val="00BC61F6"/>
    <w:rsid w:val="00BC6BA6"/>
    <w:rsid w:val="00BE1262"/>
    <w:rsid w:val="00C15EBB"/>
    <w:rsid w:val="00C50524"/>
    <w:rsid w:val="00C55DBC"/>
    <w:rsid w:val="00C64571"/>
    <w:rsid w:val="00C80887"/>
    <w:rsid w:val="00C929DD"/>
    <w:rsid w:val="00CA2868"/>
    <w:rsid w:val="00CC30D0"/>
    <w:rsid w:val="00CC3D3B"/>
    <w:rsid w:val="00CD198D"/>
    <w:rsid w:val="00CE0908"/>
    <w:rsid w:val="00D07106"/>
    <w:rsid w:val="00D1237E"/>
    <w:rsid w:val="00D135FD"/>
    <w:rsid w:val="00D40ECF"/>
    <w:rsid w:val="00D64E07"/>
    <w:rsid w:val="00D81382"/>
    <w:rsid w:val="00D90334"/>
    <w:rsid w:val="00D90665"/>
    <w:rsid w:val="00D97B57"/>
    <w:rsid w:val="00DB575F"/>
    <w:rsid w:val="00DB70F9"/>
    <w:rsid w:val="00DB7F98"/>
    <w:rsid w:val="00DC74A0"/>
    <w:rsid w:val="00DE28AA"/>
    <w:rsid w:val="00DF2F90"/>
    <w:rsid w:val="00DF67C2"/>
    <w:rsid w:val="00E332EA"/>
    <w:rsid w:val="00E73F72"/>
    <w:rsid w:val="00E824CB"/>
    <w:rsid w:val="00EA6059"/>
    <w:rsid w:val="00EC41A0"/>
    <w:rsid w:val="00EE4CA9"/>
    <w:rsid w:val="00EF6355"/>
    <w:rsid w:val="00F029B2"/>
    <w:rsid w:val="00F12ABB"/>
    <w:rsid w:val="00F31ADE"/>
    <w:rsid w:val="00F32DEE"/>
    <w:rsid w:val="00F64BA6"/>
    <w:rsid w:val="00F668E2"/>
    <w:rsid w:val="00F83357"/>
    <w:rsid w:val="00FB6634"/>
    <w:rsid w:val="00FF41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6D53"/>
  <w15:docId w15:val="{9AD4A06F-9ADD-428F-A0BC-57A1ABEB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16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ontepargpadro"/>
    <w:rsid w:val="00712921"/>
  </w:style>
  <w:style w:type="character" w:styleId="nfase">
    <w:name w:val="Emphasis"/>
    <w:basedOn w:val="Fontepargpadro"/>
    <w:uiPriority w:val="20"/>
    <w:qFormat/>
    <w:rsid w:val="00712921"/>
    <w:rPr>
      <w:i/>
      <w:iCs/>
    </w:rPr>
  </w:style>
  <w:style w:type="paragraph" w:styleId="PargrafodaLista">
    <w:name w:val="List Paragraph"/>
    <w:basedOn w:val="Normal"/>
    <w:uiPriority w:val="34"/>
    <w:qFormat/>
    <w:rsid w:val="000C5483"/>
    <w:pPr>
      <w:ind w:left="720"/>
      <w:contextualSpacing/>
    </w:pPr>
  </w:style>
  <w:style w:type="paragraph" w:styleId="Textodebalo">
    <w:name w:val="Balloon Text"/>
    <w:basedOn w:val="Normal"/>
    <w:link w:val="TextodebaloChar"/>
    <w:uiPriority w:val="99"/>
    <w:semiHidden/>
    <w:unhideWhenUsed/>
    <w:rsid w:val="00AF2C2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2C23"/>
    <w:rPr>
      <w:rFonts w:ascii="Tahoma" w:hAnsi="Tahoma" w:cs="Tahoma"/>
      <w:sz w:val="16"/>
      <w:szCs w:val="16"/>
    </w:rPr>
  </w:style>
  <w:style w:type="paragraph" w:customStyle="1" w:styleId="Default">
    <w:name w:val="Default"/>
    <w:rsid w:val="00D071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2053">
      <w:bodyDiv w:val="1"/>
      <w:marLeft w:val="0"/>
      <w:marRight w:val="0"/>
      <w:marTop w:val="0"/>
      <w:marBottom w:val="0"/>
      <w:divBdr>
        <w:top w:val="none" w:sz="0" w:space="0" w:color="auto"/>
        <w:left w:val="none" w:sz="0" w:space="0" w:color="auto"/>
        <w:bottom w:val="none" w:sz="0" w:space="0" w:color="auto"/>
        <w:right w:val="none" w:sz="0" w:space="0" w:color="auto"/>
      </w:divBdr>
    </w:div>
    <w:div w:id="150752665">
      <w:bodyDiv w:val="1"/>
      <w:marLeft w:val="0"/>
      <w:marRight w:val="0"/>
      <w:marTop w:val="0"/>
      <w:marBottom w:val="0"/>
      <w:divBdr>
        <w:top w:val="none" w:sz="0" w:space="0" w:color="auto"/>
        <w:left w:val="none" w:sz="0" w:space="0" w:color="auto"/>
        <w:bottom w:val="none" w:sz="0" w:space="0" w:color="auto"/>
        <w:right w:val="none" w:sz="0" w:space="0" w:color="auto"/>
      </w:divBdr>
    </w:div>
    <w:div w:id="263348187">
      <w:bodyDiv w:val="1"/>
      <w:marLeft w:val="0"/>
      <w:marRight w:val="0"/>
      <w:marTop w:val="0"/>
      <w:marBottom w:val="0"/>
      <w:divBdr>
        <w:top w:val="none" w:sz="0" w:space="0" w:color="auto"/>
        <w:left w:val="none" w:sz="0" w:space="0" w:color="auto"/>
        <w:bottom w:val="none" w:sz="0" w:space="0" w:color="auto"/>
        <w:right w:val="none" w:sz="0" w:space="0" w:color="auto"/>
      </w:divBdr>
    </w:div>
    <w:div w:id="498931073">
      <w:bodyDiv w:val="1"/>
      <w:marLeft w:val="0"/>
      <w:marRight w:val="0"/>
      <w:marTop w:val="0"/>
      <w:marBottom w:val="0"/>
      <w:divBdr>
        <w:top w:val="none" w:sz="0" w:space="0" w:color="auto"/>
        <w:left w:val="none" w:sz="0" w:space="0" w:color="auto"/>
        <w:bottom w:val="none" w:sz="0" w:space="0" w:color="auto"/>
        <w:right w:val="none" w:sz="0" w:space="0" w:color="auto"/>
      </w:divBdr>
    </w:div>
    <w:div w:id="642123449">
      <w:bodyDiv w:val="1"/>
      <w:marLeft w:val="0"/>
      <w:marRight w:val="0"/>
      <w:marTop w:val="0"/>
      <w:marBottom w:val="0"/>
      <w:divBdr>
        <w:top w:val="none" w:sz="0" w:space="0" w:color="auto"/>
        <w:left w:val="none" w:sz="0" w:space="0" w:color="auto"/>
        <w:bottom w:val="none" w:sz="0" w:space="0" w:color="auto"/>
        <w:right w:val="none" w:sz="0" w:space="0" w:color="auto"/>
      </w:divBdr>
    </w:div>
    <w:div w:id="667486553">
      <w:bodyDiv w:val="1"/>
      <w:marLeft w:val="0"/>
      <w:marRight w:val="0"/>
      <w:marTop w:val="0"/>
      <w:marBottom w:val="0"/>
      <w:divBdr>
        <w:top w:val="none" w:sz="0" w:space="0" w:color="auto"/>
        <w:left w:val="none" w:sz="0" w:space="0" w:color="auto"/>
        <w:bottom w:val="none" w:sz="0" w:space="0" w:color="auto"/>
        <w:right w:val="none" w:sz="0" w:space="0" w:color="auto"/>
      </w:divBdr>
    </w:div>
    <w:div w:id="1019281970">
      <w:bodyDiv w:val="1"/>
      <w:marLeft w:val="0"/>
      <w:marRight w:val="0"/>
      <w:marTop w:val="0"/>
      <w:marBottom w:val="0"/>
      <w:divBdr>
        <w:top w:val="none" w:sz="0" w:space="0" w:color="auto"/>
        <w:left w:val="none" w:sz="0" w:space="0" w:color="auto"/>
        <w:bottom w:val="none" w:sz="0" w:space="0" w:color="auto"/>
        <w:right w:val="none" w:sz="0" w:space="0" w:color="auto"/>
      </w:divBdr>
    </w:div>
    <w:div w:id="1044478959">
      <w:bodyDiv w:val="1"/>
      <w:marLeft w:val="0"/>
      <w:marRight w:val="0"/>
      <w:marTop w:val="0"/>
      <w:marBottom w:val="0"/>
      <w:divBdr>
        <w:top w:val="none" w:sz="0" w:space="0" w:color="auto"/>
        <w:left w:val="none" w:sz="0" w:space="0" w:color="auto"/>
        <w:bottom w:val="none" w:sz="0" w:space="0" w:color="auto"/>
        <w:right w:val="none" w:sz="0" w:space="0" w:color="auto"/>
      </w:divBdr>
    </w:div>
    <w:div w:id="1486700001">
      <w:bodyDiv w:val="1"/>
      <w:marLeft w:val="0"/>
      <w:marRight w:val="0"/>
      <w:marTop w:val="0"/>
      <w:marBottom w:val="0"/>
      <w:divBdr>
        <w:top w:val="none" w:sz="0" w:space="0" w:color="auto"/>
        <w:left w:val="none" w:sz="0" w:space="0" w:color="auto"/>
        <w:bottom w:val="none" w:sz="0" w:space="0" w:color="auto"/>
        <w:right w:val="none" w:sz="0" w:space="0" w:color="auto"/>
      </w:divBdr>
    </w:div>
    <w:div w:id="1807549477">
      <w:bodyDiv w:val="1"/>
      <w:marLeft w:val="0"/>
      <w:marRight w:val="0"/>
      <w:marTop w:val="0"/>
      <w:marBottom w:val="0"/>
      <w:divBdr>
        <w:top w:val="none" w:sz="0" w:space="0" w:color="auto"/>
        <w:left w:val="none" w:sz="0" w:space="0" w:color="auto"/>
        <w:bottom w:val="none" w:sz="0" w:space="0" w:color="auto"/>
        <w:right w:val="none" w:sz="0" w:space="0" w:color="auto"/>
      </w:divBdr>
    </w:div>
    <w:div w:id="1881164764">
      <w:bodyDiv w:val="1"/>
      <w:marLeft w:val="0"/>
      <w:marRight w:val="0"/>
      <w:marTop w:val="0"/>
      <w:marBottom w:val="0"/>
      <w:divBdr>
        <w:top w:val="none" w:sz="0" w:space="0" w:color="auto"/>
        <w:left w:val="none" w:sz="0" w:space="0" w:color="auto"/>
        <w:bottom w:val="none" w:sz="0" w:space="0" w:color="auto"/>
        <w:right w:val="none" w:sz="0" w:space="0" w:color="auto"/>
      </w:divBdr>
    </w:div>
    <w:div w:id="204540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C3DF9-9E0B-475B-A0E3-3A6B0D08F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1552</Words>
  <Characters>8383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Tribunal de Contas do Estado</Company>
  <LinksUpToDate>false</LinksUpToDate>
  <CharactersWithSpaces>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Hauschild</dc:creator>
  <cp:lastModifiedBy>Renata Silva Pugas Magalhaes</cp:lastModifiedBy>
  <cp:revision>2</cp:revision>
  <dcterms:created xsi:type="dcterms:W3CDTF">2020-07-14T15:26:00Z</dcterms:created>
  <dcterms:modified xsi:type="dcterms:W3CDTF">2020-07-14T15:26:00Z</dcterms:modified>
</cp:coreProperties>
</file>